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8D25E" w14:textId="55B11701" w:rsidR="001E181C" w:rsidRPr="00670DCE" w:rsidRDefault="001E181C" w:rsidP="001E181C">
      <w:pPr>
        <w:widowControl w:val="0"/>
        <w:tabs>
          <w:tab w:val="right" w:pos="9639"/>
        </w:tabs>
        <w:spacing w:after="0"/>
        <w:rPr>
          <w:rFonts w:eastAsia="Times New Roman"/>
          <w:b/>
          <w:bCs/>
          <w:sz w:val="24"/>
          <w:szCs w:val="24"/>
        </w:rPr>
      </w:pPr>
      <w:bookmarkStart w:id="0" w:name="_Hlk510698672"/>
      <w:r w:rsidRPr="00670DCE">
        <w:rPr>
          <w:rFonts w:eastAsia="Times New Roman"/>
          <w:b/>
          <w:bCs/>
          <w:sz w:val="24"/>
          <w:szCs w:val="24"/>
        </w:rPr>
        <w:t>3GPP TSG RAN WG1 Meeting #10</w:t>
      </w:r>
      <w:r>
        <w:rPr>
          <w:rFonts w:eastAsia="Times New Roman"/>
          <w:b/>
          <w:bCs/>
          <w:sz w:val="24"/>
          <w:szCs w:val="24"/>
        </w:rPr>
        <w:t>3</w:t>
      </w:r>
      <w:r w:rsidRPr="00670DCE">
        <w:rPr>
          <w:rFonts w:eastAsia="Times New Roman"/>
          <w:b/>
          <w:bCs/>
          <w:sz w:val="24"/>
          <w:szCs w:val="24"/>
        </w:rPr>
        <w:t>-e</w:t>
      </w:r>
      <w:r w:rsidRPr="00670DCE">
        <w:rPr>
          <w:rFonts w:eastAsia="Times New Roman"/>
          <w:b/>
          <w:bCs/>
          <w:sz w:val="24"/>
          <w:szCs w:val="24"/>
        </w:rPr>
        <w:tab/>
        <w:t>R1-</w:t>
      </w:r>
      <w:r w:rsidRPr="005758A7">
        <w:t xml:space="preserve"> </w:t>
      </w:r>
      <w:r w:rsidR="00830BCA" w:rsidRPr="00830BCA">
        <w:rPr>
          <w:rFonts w:eastAsia="Times New Roman"/>
          <w:b/>
          <w:bCs/>
          <w:sz w:val="24"/>
          <w:szCs w:val="24"/>
        </w:rPr>
        <w:t>2009250</w:t>
      </w:r>
      <w:bookmarkStart w:id="1" w:name="_GoBack"/>
      <w:bookmarkEnd w:id="1"/>
    </w:p>
    <w:p w14:paraId="4C8B3EEF" w14:textId="77777777" w:rsidR="001E181C" w:rsidRDefault="001E181C" w:rsidP="001E181C">
      <w:pPr>
        <w:widowControl w:val="0"/>
        <w:tabs>
          <w:tab w:val="right" w:pos="9639"/>
        </w:tabs>
        <w:spacing w:after="0"/>
        <w:rPr>
          <w:rFonts w:eastAsia="Times New Roman"/>
          <w:b/>
          <w:bCs/>
          <w:sz w:val="24"/>
          <w:szCs w:val="24"/>
        </w:rPr>
      </w:pPr>
      <w:r>
        <w:rPr>
          <w:rFonts w:eastAsia="Times New Roman"/>
          <w:b/>
          <w:bCs/>
          <w:sz w:val="24"/>
          <w:szCs w:val="24"/>
        </w:rPr>
        <w:t>October</w:t>
      </w:r>
      <w:r w:rsidRPr="00670DCE">
        <w:rPr>
          <w:rFonts w:eastAsia="Times New Roman"/>
          <w:b/>
          <w:bCs/>
          <w:sz w:val="24"/>
          <w:szCs w:val="24"/>
        </w:rPr>
        <w:t xml:space="preserve"> </w:t>
      </w:r>
      <w:r>
        <w:rPr>
          <w:rFonts w:eastAsia="Times New Roman"/>
          <w:b/>
          <w:bCs/>
          <w:sz w:val="24"/>
          <w:szCs w:val="24"/>
        </w:rPr>
        <w:t>26</w:t>
      </w:r>
      <w:r w:rsidRPr="000A5D92">
        <w:rPr>
          <w:rFonts w:eastAsia="Times New Roman"/>
          <w:b/>
          <w:bCs/>
          <w:sz w:val="24"/>
          <w:szCs w:val="24"/>
          <w:vertAlign w:val="superscript"/>
        </w:rPr>
        <w:t>th</w:t>
      </w:r>
      <w:r w:rsidRPr="00670DCE">
        <w:rPr>
          <w:rFonts w:eastAsia="Times New Roman"/>
          <w:b/>
          <w:bCs/>
          <w:sz w:val="24"/>
          <w:szCs w:val="24"/>
        </w:rPr>
        <w:t xml:space="preserve"> – </w:t>
      </w:r>
      <w:r>
        <w:rPr>
          <w:rFonts w:eastAsia="Times New Roman"/>
          <w:b/>
          <w:bCs/>
          <w:sz w:val="24"/>
          <w:szCs w:val="24"/>
        </w:rPr>
        <w:t>November 13</w:t>
      </w:r>
      <w:r w:rsidRPr="000A5D92">
        <w:rPr>
          <w:rFonts w:eastAsia="Times New Roman"/>
          <w:b/>
          <w:bCs/>
          <w:sz w:val="24"/>
          <w:szCs w:val="24"/>
          <w:vertAlign w:val="superscript"/>
        </w:rPr>
        <w:t>th</w:t>
      </w:r>
      <w:r w:rsidRPr="00670DCE">
        <w:rPr>
          <w:rFonts w:eastAsia="Times New Roman"/>
          <w:b/>
          <w:bCs/>
          <w:sz w:val="24"/>
          <w:szCs w:val="24"/>
        </w:rPr>
        <w:t>, 2020</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5F9D8FAE" w:rsidR="002E629B" w:rsidRPr="002E629B" w:rsidRDefault="002E629B" w:rsidP="002E629B">
      <w:pPr>
        <w:tabs>
          <w:tab w:val="left" w:pos="1985"/>
        </w:tabs>
        <w:jc w:val="both"/>
        <w:rPr>
          <w:sz w:val="24"/>
        </w:rPr>
      </w:pPr>
      <w:r w:rsidRPr="002E629B">
        <w:rPr>
          <w:b/>
          <w:sz w:val="24"/>
        </w:rPr>
        <w:t>Agenda item:</w:t>
      </w:r>
      <w:r w:rsidRPr="002E629B">
        <w:rPr>
          <w:sz w:val="24"/>
        </w:rPr>
        <w:tab/>
      </w:r>
      <w:bookmarkStart w:id="2" w:name="Source"/>
      <w:bookmarkEnd w:id="2"/>
      <w:r w:rsidR="00F80C2A">
        <w:rPr>
          <w:sz w:val="24"/>
        </w:rPr>
        <w:t>8.1.1</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3" w:name="DocumentFor"/>
      <w:bookmarkEnd w:id="3"/>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174ABC16" w:rsidR="002E629B" w:rsidRPr="002E629B" w:rsidRDefault="002E629B" w:rsidP="002E629B">
      <w:bookmarkStart w:id="4" w:name="_Hlk54343086"/>
      <w:r w:rsidRPr="002E629B">
        <w:rPr>
          <w:lang w:eastAsia="ja-JP"/>
        </w:rPr>
        <w:t xml:space="preserve">The </w:t>
      </w:r>
      <w:r w:rsidR="00D021BC">
        <w:rPr>
          <w:lang w:eastAsia="ja-JP"/>
        </w:rPr>
        <w:t xml:space="preserve">following agreements have been achieved for multi-beam operation in RAN1 #102-e.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E48BA">
        <w:trPr>
          <w:trHeight w:val="440"/>
        </w:trPr>
        <w:tc>
          <w:tcPr>
            <w:tcW w:w="9467" w:type="dxa"/>
          </w:tcPr>
          <w:p w14:paraId="18FE0B70" w14:textId="77777777" w:rsidR="00F167C8" w:rsidRPr="00F167C8" w:rsidRDefault="00F167C8" w:rsidP="00F167C8">
            <w:pPr>
              <w:spacing w:after="0"/>
              <w:rPr>
                <w:rFonts w:ascii="Calibri" w:hAnsi="Calibri" w:cs="Times"/>
                <w:b/>
                <w:bCs/>
                <w:sz w:val="16"/>
                <w:szCs w:val="16"/>
                <w:highlight w:val="green"/>
                <w:lang w:val="en-US" w:eastAsia="x-none"/>
              </w:rPr>
            </w:pPr>
            <w:r w:rsidRPr="00F167C8">
              <w:rPr>
                <w:rFonts w:ascii="Calibri" w:hAnsi="Calibri" w:cs="Times"/>
                <w:b/>
                <w:bCs/>
                <w:sz w:val="16"/>
                <w:szCs w:val="16"/>
                <w:highlight w:val="green"/>
                <w:lang w:val="en-US" w:eastAsia="x-none"/>
              </w:rPr>
              <w:t xml:space="preserve">Agreement </w:t>
            </w:r>
          </w:p>
          <w:p w14:paraId="65098979" w14:textId="77777777" w:rsidR="00F167C8" w:rsidRPr="00F167C8" w:rsidRDefault="00F167C8" w:rsidP="00F167C8">
            <w:pPr>
              <w:snapToGrid w:val="0"/>
              <w:spacing w:after="0"/>
              <w:rPr>
                <w:sz w:val="16"/>
                <w:szCs w:val="14"/>
                <w:lang w:val="en-US"/>
              </w:rPr>
            </w:pPr>
            <w:r w:rsidRPr="00F167C8">
              <w:rPr>
                <w:rFonts w:cs="Calibri"/>
                <w:b/>
                <w:sz w:val="16"/>
                <w:szCs w:val="14"/>
                <w:lang w:val="en-US" w:eastAsia="zh-CN"/>
              </w:rPr>
              <w:t>Note</w:t>
            </w:r>
            <w:r w:rsidRPr="00F167C8">
              <w:rPr>
                <w:rFonts w:cs="Calibri"/>
                <w:sz w:val="16"/>
                <w:szCs w:val="14"/>
                <w:lang w:val="en-US" w:eastAsia="zh-CN"/>
              </w:rPr>
              <w:t>: the enumeration for issues (such as “issue 1a), 1b), 6) in the proposal below refers to the enumeration within the proposals, not Table 1 in the FL summary.</w:t>
            </w:r>
          </w:p>
          <w:p w14:paraId="39EBD33B" w14:textId="77777777" w:rsidR="00F167C8" w:rsidRPr="00F167C8" w:rsidRDefault="00F167C8" w:rsidP="00F167C8">
            <w:pPr>
              <w:numPr>
                <w:ilvl w:val="0"/>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 [Issue 1] For Rel.17 NR FeMIMO, on the unified TCI framework</w:t>
            </w:r>
          </w:p>
          <w:p w14:paraId="271343F8"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Support joint TCI for DL and UL based on and analogous to Rel.15/16 DL TCI framework</w:t>
            </w:r>
          </w:p>
          <w:p w14:paraId="29234A27"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The term “TCI” at least comprises a TCI state that </w:t>
            </w:r>
            <w:r w:rsidRPr="00F167C8">
              <w:rPr>
                <w:rFonts w:cs="Calibri"/>
                <w:sz w:val="16"/>
                <w:szCs w:val="14"/>
                <w:u w:val="single"/>
                <w:lang w:val="en-US" w:eastAsia="x-none"/>
              </w:rPr>
              <w:t>includes</w:t>
            </w:r>
            <w:r w:rsidRPr="00F167C8">
              <w:rPr>
                <w:rFonts w:cs="Calibri"/>
                <w:sz w:val="16"/>
                <w:szCs w:val="14"/>
                <w:lang w:val="en-US" w:eastAsia="x-none"/>
              </w:rPr>
              <w:t xml:space="preserve"> at least one source RS to provide a reference (UE assumption) for determining QCL and/or spatial filter </w:t>
            </w:r>
          </w:p>
          <w:p w14:paraId="49E07177"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The source reference signal(s) in M TCIs provide common QCL information at least for UE-dedicated reception on PDSCH and all or subset of CORESETs in a CC</w:t>
            </w:r>
          </w:p>
          <w:p w14:paraId="426DBE05"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FFS: Optionally this common QCL information can also apply to CSI-RS resource for CSI, CSI-RS resource for BM, and CSI-RS for tracking</w:t>
            </w:r>
          </w:p>
          <w:p w14:paraId="071F8CDA"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FFS: Applicability on PD</w:t>
            </w:r>
            <w:r w:rsidRPr="00F167C8">
              <w:rPr>
                <w:rFonts w:cs="Calibri"/>
                <w:sz w:val="16"/>
                <w:szCs w:val="14"/>
                <w:lang w:val="en-US" w:eastAsia="ko-KR"/>
              </w:rPr>
              <w:t>S</w:t>
            </w:r>
            <w:r w:rsidRPr="00F167C8">
              <w:rPr>
                <w:rFonts w:cs="Calibri"/>
                <w:sz w:val="16"/>
                <w:szCs w:val="14"/>
                <w:lang w:val="en-US" w:eastAsia="x-none"/>
              </w:rPr>
              <w:t>CH includes PDSCH default beam</w:t>
            </w:r>
          </w:p>
          <w:p w14:paraId="606B422A"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highlight w:val="darkYellow"/>
                <w:lang w:val="en-US" w:eastAsia="x-none"/>
              </w:rPr>
              <w:t>Working Assumption</w:t>
            </w:r>
            <w:r w:rsidRPr="00F167C8">
              <w:rPr>
                <w:rFonts w:cs="Calibri"/>
                <w:sz w:val="16"/>
                <w:szCs w:val="14"/>
                <w:lang w:val="en-US" w:eastAsia="x-none"/>
              </w:rPr>
              <w:t>: Select between M=1 and M&gt;=1</w:t>
            </w:r>
          </w:p>
          <w:p w14:paraId="0DD61D3A"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The source reference signal(s) in N TCIs provide a reference for determining common UL TX spatial filter(s) at least for dynamic-grant/configured-grant based PUSCH, all or subset of dedicated PUCCH resources in a CC, </w:t>
            </w:r>
          </w:p>
          <w:p w14:paraId="6A2BF6FC"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Optionally, this UL TX spatial filter can also apply to all SRS resources in resource set(s) configured for antenna switching/codebook-based/non-codebook-based UL transmissions</w:t>
            </w:r>
          </w:p>
          <w:p w14:paraId="33AF153D"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FFS:  applicability of this UL TX spatial filter to SRS configured for beam management (BM)</w:t>
            </w:r>
          </w:p>
          <w:p w14:paraId="5ECE8A05"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FFS: PUSCH port determination based on the TCI, e.g., to be mapped with SRS ports analogous to Rel.15/16</w:t>
            </w:r>
          </w:p>
          <w:p w14:paraId="3491B8E2"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highlight w:val="darkYellow"/>
                <w:lang w:val="en-US" w:eastAsia="x-none"/>
              </w:rPr>
              <w:t>Working Assumption</w:t>
            </w:r>
            <w:r w:rsidRPr="00F167C8">
              <w:rPr>
                <w:rFonts w:cs="Calibri"/>
                <w:sz w:val="16"/>
                <w:szCs w:val="14"/>
                <w:lang w:val="en-US" w:eastAsia="x-none"/>
              </w:rPr>
              <w:t>: Select between N=1 and N&gt;=1</w:t>
            </w:r>
          </w:p>
          <w:p w14:paraId="556E927D"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6"/>
                <w:lang w:val="en-US" w:eastAsia="x-none"/>
              </w:rPr>
              <w:t xml:space="preserve">FFS: extension to common QCL information applied to only some of the CORESETs or PUCCH resources in a CC, e.g. for mTRP </w:t>
            </w:r>
          </w:p>
          <w:p w14:paraId="0DF69DD4"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49118E61"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Note: The resulting beam indication directly refers to the associated source RS(s)</w:t>
            </w:r>
          </w:p>
          <w:p w14:paraId="418FFA34"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FFS (RAN1#103-e): Details on extension to intra- and inter-band CA</w:t>
            </w:r>
          </w:p>
          <w:p w14:paraId="4B7E63FF"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FFS (RAN1#103-e): The supported number of active TCI states considering factors such as multi-TRP and issue 6 </w:t>
            </w:r>
          </w:p>
          <w:p w14:paraId="4ACF15F0"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FFS (RAN1#103-e): Applicable QCL types, and co-existence with DL TCI and spatial relation indication in Rel.15/16</w:t>
            </w:r>
          </w:p>
          <w:p w14:paraId="05896C09"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investigate, for the purpose of down selection, the following alternatives for accommodating the case of separate beam indication for UL and DL</w:t>
            </w:r>
          </w:p>
          <w:p w14:paraId="04025291"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Alt1. Utilize the joint TCI </w:t>
            </w:r>
            <w:r w:rsidRPr="00F167C8">
              <w:rPr>
                <w:rFonts w:eastAsia="Times New Roman" w:cs="Calibri"/>
                <w:sz w:val="16"/>
                <w:szCs w:val="14"/>
                <w:lang w:val="en-US" w:eastAsia="zh-CN"/>
              </w:rPr>
              <w:t>to include references for both DL and UL beams</w:t>
            </w:r>
          </w:p>
          <w:p w14:paraId="6826281D"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Alt2. Utilize two separate TCI states, one for DL and one for UL. The TCI state for the DL is the same as agreed in 1a. The TCI state for the UL can be newly introduced.</w:t>
            </w:r>
          </w:p>
          <w:p w14:paraId="1ADDDD85"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Alt 2-1: The UL TCI state is taken from the same pool of TCI states as the DL TCI state</w:t>
            </w:r>
          </w:p>
          <w:p w14:paraId="4C87E9E4" w14:textId="77777777" w:rsidR="00F167C8" w:rsidRPr="00F167C8" w:rsidRDefault="00F167C8" w:rsidP="00F167C8">
            <w:pPr>
              <w:numPr>
                <w:ilvl w:val="3"/>
                <w:numId w:val="14"/>
              </w:numPr>
              <w:snapToGrid w:val="0"/>
              <w:spacing w:after="0"/>
              <w:contextualSpacing/>
              <w:rPr>
                <w:rFonts w:cs="Calibri"/>
                <w:sz w:val="16"/>
                <w:szCs w:val="14"/>
                <w:lang w:val="en-US" w:eastAsia="x-none"/>
              </w:rPr>
            </w:pPr>
            <w:r w:rsidRPr="00F167C8">
              <w:rPr>
                <w:rFonts w:cs="Calibri"/>
                <w:sz w:val="16"/>
                <w:szCs w:val="14"/>
                <w:lang w:val="en-US" w:eastAsia="x-none"/>
              </w:rPr>
              <w:t>Alt 2-2: The UL TCI state is taken from another pool of TCI states than the DL TCI state</w:t>
            </w:r>
          </w:p>
          <w:p w14:paraId="1524C0F9"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Note: The resulting beam indication directly refers to the associated source RS(s)</w:t>
            </w:r>
          </w:p>
          <w:p w14:paraId="3E0BCE93"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FFS (RAN1#103-e): Details on extension to intra- and inter-band CA</w:t>
            </w:r>
          </w:p>
          <w:p w14:paraId="6600A721"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Note: This may be related to issue 5 as well as </w:t>
            </w:r>
            <w:r w:rsidRPr="00F167C8">
              <w:rPr>
                <w:rFonts w:cs="Calibri"/>
                <w:sz w:val="16"/>
                <w:szCs w:val="14"/>
                <w:lang w:val="en-US" w:eastAsia="zh-CN"/>
              </w:rPr>
              <w:t>other reasons for different TCIs such as network flexibility/scheduling</w:t>
            </w:r>
          </w:p>
          <w:p w14:paraId="42189300"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Support the use of SSB/CSI-RS for BM and/or SRS for BM as source RS to determine a UL TX spatial filter in the unified TCI framework</w:t>
            </w:r>
          </w:p>
          <w:p w14:paraId="43CC4410"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Whether the UL TX spatial filter corresponds to UL TCI (separate from DL TCI) depends on the outcome of 1b) above</w:t>
            </w:r>
          </w:p>
          <w:p w14:paraId="0E5BE438"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lastRenderedPageBreak/>
              <w:t>FFS: Support the use of non-BM CSI-RS and/or non-BM SRS in addition</w:t>
            </w:r>
          </w:p>
          <w:p w14:paraId="764EF9FA"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decide if SRS for BM can be configured as a source RS to represent a DL RX spatial filter in the unified TCI framework</w:t>
            </w:r>
          </w:p>
          <w:p w14:paraId="4ED8F085"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In RAN1#103-e, decide/finalize all other parameters included in or concurrent with (but not included in) the TCI, e.g. UL-PC-related parameters (involving P0/alpha, PL RS, and/or closed loop index), UL-timing-related parameters  </w:t>
            </w:r>
          </w:p>
          <w:p w14:paraId="738FEC2A"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identify issues pertaining to alignment between DL and UL default beam assumptions using the unified TCI framework</w:t>
            </w:r>
          </w:p>
          <w:p w14:paraId="7363FCE4" w14:textId="77777777" w:rsidR="00F167C8" w:rsidRPr="00F167C8" w:rsidRDefault="00F167C8" w:rsidP="00F167C8">
            <w:pPr>
              <w:numPr>
                <w:ilvl w:val="0"/>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[Issue 2] For Rel.17 NR FeMIMO, on L1/L2-centric inter-cell mobility: </w:t>
            </w:r>
          </w:p>
          <w:p w14:paraId="5DE9BDEC"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In RAN1#103-e, finalize scope and use cases for L1/L2-centric inter-cell mobility, including: </w:t>
            </w:r>
          </w:p>
          <w:p w14:paraId="6B27F3C1"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Applicability in various non-CA and CA setups such as intra-band and inter-band CA</w:t>
            </w:r>
          </w:p>
          <w:p w14:paraId="76BF17F7"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Use cases in comparison to Rel.15 L3-based handover (HO) </w:t>
            </w:r>
            <w:proofErr w:type="gramStart"/>
            <w:r w:rsidRPr="00F167C8">
              <w:rPr>
                <w:rFonts w:cs="Calibri"/>
                <w:sz w:val="16"/>
                <w:szCs w:val="14"/>
                <w:lang w:val="en-US" w:eastAsia="x-none"/>
              </w:rPr>
              <w:t>taking into account</w:t>
            </w:r>
            <w:proofErr w:type="gramEnd"/>
            <w:r w:rsidRPr="00F167C8">
              <w:rPr>
                <w:rFonts w:cs="Calibri"/>
                <w:sz w:val="16"/>
                <w:szCs w:val="14"/>
                <w:lang w:val="en-US" w:eastAsia="x-none"/>
              </w:rPr>
              <w:t xml:space="preserve"> potential extension of DAPS-based Rel.16 mobility enhancement to FR2-FR2 HO</w:t>
            </w:r>
          </w:p>
          <w:p w14:paraId="1C074B74"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The extent of RAN2 impact (MAC CE, RRC, user plane protocols)</w:t>
            </w:r>
          </w:p>
          <w:p w14:paraId="5EE66A32"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Network architecture, e.g. NSA vs. SA, inter-RAT scenarios</w:t>
            </w:r>
          </w:p>
          <w:p w14:paraId="4884DDD3"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2C3EC371"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Method(s) for incorporating non-serving cell information associated with TCI</w:t>
            </w:r>
          </w:p>
          <w:p w14:paraId="7EDC8D14"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Method(s) for DL measurements and UE reporting (e.g. L1-RSRP) associated with non-serving cell(s)</w:t>
            </w:r>
          </w:p>
          <w:p w14:paraId="6E1D3FF5" w14:textId="77777777" w:rsidR="00F167C8" w:rsidRPr="00F167C8" w:rsidRDefault="00F167C8" w:rsidP="00F167C8">
            <w:pPr>
              <w:numPr>
                <w:ilvl w:val="2"/>
                <w:numId w:val="14"/>
              </w:numPr>
              <w:snapToGrid w:val="0"/>
              <w:spacing w:after="0"/>
              <w:contextualSpacing/>
              <w:rPr>
                <w:rFonts w:cs="Calibri"/>
                <w:sz w:val="16"/>
                <w:szCs w:val="14"/>
                <w:lang w:val="en-US" w:eastAsia="x-none"/>
              </w:rPr>
            </w:pPr>
            <w:bookmarkStart w:id="5" w:name="_Hlk49275654"/>
            <w:r w:rsidRPr="00F167C8">
              <w:rPr>
                <w:rFonts w:cs="Calibri"/>
                <w:sz w:val="16"/>
                <w:szCs w:val="14"/>
                <w:lang w:val="en-US" w:eastAsia="x-none"/>
              </w:rPr>
              <w:t>UE behavior for reception of signals and non-UE-specific control and data channels associated with non-serving cell(s)</w:t>
            </w:r>
            <w:bookmarkEnd w:id="5"/>
            <w:r w:rsidRPr="00F167C8">
              <w:rPr>
                <w:rFonts w:cs="Calibri"/>
                <w:sz w:val="16"/>
                <w:szCs w:val="14"/>
                <w:lang w:val="en-US" w:eastAsia="x-none"/>
              </w:rPr>
              <w:t xml:space="preserve"> </w:t>
            </w:r>
          </w:p>
          <w:p w14:paraId="732B9868"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UL-related enhancements, e.g. related to RA procedure including TA</w:t>
            </w:r>
          </w:p>
          <w:p w14:paraId="6A82B81A"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Beam-level event-driven mechanism for L1/L2-centric inter-cell mobility</w:t>
            </w:r>
          </w:p>
          <w:p w14:paraId="33DDB40F" w14:textId="77777777" w:rsidR="00F167C8" w:rsidRPr="00F167C8" w:rsidRDefault="00F167C8" w:rsidP="00F167C8">
            <w:pPr>
              <w:numPr>
                <w:ilvl w:val="0"/>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[Issue 3] For Rel.17 NR FeMIMO, on dynamic TCI state update signaling medium: </w:t>
            </w:r>
          </w:p>
          <w:p w14:paraId="5B516B87"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investigate, for the purpose of down selection, the following alternatives:</w:t>
            </w:r>
          </w:p>
          <w:p w14:paraId="5D971034"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Alt1. DCI</w:t>
            </w:r>
          </w:p>
          <w:p w14:paraId="075585E4"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Alt2. MAC CE</w:t>
            </w:r>
          </w:p>
          <w:p w14:paraId="76FE3DFD"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Note: Combination between DCI and MAC CE for, e.g. different use cases or control information partitioning can also be considered </w:t>
            </w:r>
          </w:p>
          <w:p w14:paraId="129CFBAA"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2B6F59D6"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Note: This may be related to outcome of issue 1a), 1b), and 6a)</w:t>
            </w:r>
          </w:p>
          <w:p w14:paraId="69D63F9B"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In RAN1#103-e, depending on the outcome of 3a), identify candidates for more detailed design issues for the dynamic TCI state update such as </w:t>
            </w:r>
          </w:p>
          <w:p w14:paraId="5B53077B"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Exact content </w:t>
            </w:r>
          </w:p>
          <w:p w14:paraId="1B52E249"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Signaling format </w:t>
            </w:r>
          </w:p>
          <w:p w14:paraId="55BFD3E0"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Reliability aspects including the support of retransmission</w:t>
            </w:r>
          </w:p>
          <w:p w14:paraId="3B300B8C"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Extensions, including the support of UE-group (in contrast to UE-dedicated) signaling</w:t>
            </w:r>
          </w:p>
          <w:p w14:paraId="3D37C52A" w14:textId="77777777" w:rsidR="00F167C8" w:rsidRPr="00F167C8" w:rsidRDefault="00F167C8" w:rsidP="00F167C8">
            <w:pPr>
              <w:numPr>
                <w:ilvl w:val="0"/>
                <w:numId w:val="14"/>
              </w:numPr>
              <w:snapToGrid w:val="0"/>
              <w:spacing w:after="0"/>
              <w:contextualSpacing/>
              <w:rPr>
                <w:rFonts w:cs="Calibri"/>
                <w:sz w:val="16"/>
                <w:szCs w:val="14"/>
                <w:lang w:val="en-US" w:eastAsia="x-none"/>
              </w:rPr>
            </w:pPr>
            <w:r w:rsidRPr="00F167C8">
              <w:rPr>
                <w:rFonts w:cs="Calibri"/>
                <w:sz w:val="16"/>
                <w:szCs w:val="14"/>
                <w:lang w:val="en-US" w:eastAsia="x-none"/>
              </w:rPr>
              <w:t>[Issue 4] For Rel.17 NR FeMIMO, on MP-UE assumption to facilitate fast UL panel selection:</w:t>
            </w:r>
          </w:p>
          <w:p w14:paraId="1F93A4CA"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The following assumptions are used: </w:t>
            </w:r>
          </w:p>
          <w:p w14:paraId="7E25ACA0"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In terms of RF functionality, a UE panel comprises a collection of TXRUs that </w:t>
            </w:r>
            <w:proofErr w:type="gramStart"/>
            <w:r w:rsidRPr="00F167C8">
              <w:rPr>
                <w:rFonts w:cs="Calibri"/>
                <w:sz w:val="16"/>
                <w:szCs w:val="14"/>
                <w:lang w:val="en-US" w:eastAsia="x-none"/>
              </w:rPr>
              <w:t>is able to</w:t>
            </w:r>
            <w:proofErr w:type="gramEnd"/>
            <w:r w:rsidRPr="00F167C8">
              <w:rPr>
                <w:rFonts w:cs="Calibri"/>
                <w:sz w:val="16"/>
                <w:szCs w:val="14"/>
                <w:lang w:val="en-US" w:eastAsia="x-none"/>
              </w:rPr>
              <w:t xml:space="preserve"> generate one analog beam (one beam may correspond to two antenna ports if dual-polarized array is used)</w:t>
            </w:r>
          </w:p>
          <w:p w14:paraId="065C6EC3"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UE panels can constitute the same as well as different number of antenna ports, number of beams, and EIRP </w:t>
            </w:r>
          </w:p>
          <w:p w14:paraId="2311F367"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No beam correspondence across different UE panels</w:t>
            </w:r>
          </w:p>
          <w:p w14:paraId="02B3719E"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FFS: For each UE panel, it can comprise an independent unit of PC, FFT timing window, and/or TA.</w:t>
            </w:r>
          </w:p>
          <w:p w14:paraId="391A5A8B"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eastAsia="Malgun Gothic" w:cs="Calibri"/>
                <w:sz w:val="16"/>
                <w:szCs w:val="14"/>
                <w:lang w:val="en-US" w:eastAsia="x-none"/>
              </w:rPr>
              <w:t>FFS: Same or different sets of UE panels can be used for DL reception and UL transmission, respectively</w:t>
            </w:r>
          </w:p>
          <w:p w14:paraId="43105D6A"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identify candidate use cases including MPE, and consider remaining aspects if use cases are identified</w:t>
            </w:r>
          </w:p>
          <w:p w14:paraId="65DC90F5"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In RAN1#103-e, identify candidate signaling schemes for the following:</w:t>
            </w:r>
          </w:p>
          <w:p w14:paraId="59B204F5"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NW to MP-UE (</w:t>
            </w:r>
            <w:proofErr w:type="gramStart"/>
            <w:r w:rsidRPr="00F167C8">
              <w:rPr>
                <w:rFonts w:cs="Calibri"/>
                <w:sz w:val="16"/>
                <w:szCs w:val="14"/>
                <w:lang w:val="en-US" w:eastAsia="x-none"/>
              </w:rPr>
              <w:t>taking into account</w:t>
            </w:r>
            <w:proofErr w:type="gramEnd"/>
            <w:r w:rsidRPr="00F167C8">
              <w:rPr>
                <w:rFonts w:cs="Calibri"/>
                <w:sz w:val="16"/>
                <w:szCs w:val="14"/>
                <w:lang w:val="en-US" w:eastAsia="x-none"/>
              </w:rPr>
              <w:t xml:space="preserve"> potential extension of the unified TCI framework in issue 1)</w:t>
            </w:r>
          </w:p>
          <w:p w14:paraId="1D7511CF"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MP-UE to NW</w:t>
            </w:r>
          </w:p>
          <w:p w14:paraId="2F38EDC5" w14:textId="77777777" w:rsidR="00F167C8" w:rsidRPr="00F167C8" w:rsidRDefault="00F167C8" w:rsidP="00F167C8">
            <w:pPr>
              <w:numPr>
                <w:ilvl w:val="0"/>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[Issue 5] For Rel.17 NR FeMIMO, on MPE mitigation (that is, minimizing the UL coverage loss due to the UE having to meet the MPE regulation), in RAN1#103-e: </w:t>
            </w:r>
          </w:p>
          <w:p w14:paraId="3606618E"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If needed, identify candidate solutions to be </w:t>
            </w:r>
            <w:proofErr w:type="gramStart"/>
            <w:r w:rsidRPr="00F167C8">
              <w:rPr>
                <w:rFonts w:cs="Calibri"/>
                <w:sz w:val="16"/>
                <w:szCs w:val="14"/>
                <w:lang w:val="en-US" w:eastAsia="x-none"/>
              </w:rPr>
              <w:t>down-selected</w:t>
            </w:r>
            <w:proofErr w:type="gramEnd"/>
            <w:r w:rsidRPr="00F167C8">
              <w:rPr>
                <w:rFonts w:cs="Calibri"/>
                <w:sz w:val="16"/>
                <w:szCs w:val="14"/>
                <w:lang w:val="en-US" w:eastAsia="x-none"/>
              </w:rPr>
              <w:t xml:space="preserve"> in future meeting(s). The following sub-categories can be used:</w:t>
            </w:r>
          </w:p>
          <w:p w14:paraId="2DD946E6"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CAT0. The need for specification support for MPE event detection and, if needed, candidate solutions</w:t>
            </w:r>
          </w:p>
          <w:p w14:paraId="0381B5E2"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CAT1. The need for UE reporting associated with an MPE and/or a potential/anticipated MPE event if the UE selects a certain UL spatial resource, e.g., corresponding to DL or UL RS</w:t>
            </w:r>
          </w:p>
          <w:p w14:paraId="222B47CA"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CAT2. The need for NW signaling in response to the reported MPE event (</w:t>
            </w:r>
            <w:proofErr w:type="gramStart"/>
            <w:r w:rsidRPr="00F167C8">
              <w:rPr>
                <w:rFonts w:cs="Calibri"/>
                <w:sz w:val="16"/>
                <w:szCs w:val="14"/>
                <w:lang w:val="en-US" w:eastAsia="x-none"/>
              </w:rPr>
              <w:t>taking into account</w:t>
            </w:r>
            <w:proofErr w:type="gramEnd"/>
            <w:r w:rsidRPr="00F167C8">
              <w:rPr>
                <w:rFonts w:cs="Calibri"/>
                <w:sz w:val="16"/>
                <w:szCs w:val="14"/>
                <w:lang w:val="en-US" w:eastAsia="x-none"/>
              </w:rPr>
              <w:t xml:space="preserve"> issue 1) and UE behavior after receiving the NW signaling</w:t>
            </w:r>
          </w:p>
          <w:p w14:paraId="716DDC0F"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Note: RAN4 has agreed to specify P-MPR reporting (cf. CRs for TS 38.101/102/133) which can be used as a baseline scheme for further enhancement</w:t>
            </w:r>
          </w:p>
          <w:p w14:paraId="1EA016D3" w14:textId="77777777" w:rsidR="00F167C8" w:rsidRPr="00F167C8" w:rsidRDefault="00F167C8" w:rsidP="00F167C8">
            <w:pPr>
              <w:numPr>
                <w:ilvl w:val="2"/>
                <w:numId w:val="14"/>
              </w:numPr>
              <w:snapToGrid w:val="0"/>
              <w:spacing w:after="0"/>
              <w:contextualSpacing/>
              <w:rPr>
                <w:rFonts w:cs="Calibri"/>
                <w:sz w:val="16"/>
                <w:szCs w:val="14"/>
                <w:lang w:val="en-US" w:eastAsia="x-none"/>
              </w:rPr>
            </w:pPr>
            <w:r w:rsidRPr="00F167C8">
              <w:rPr>
                <w:rFonts w:cs="Calibri"/>
                <w:sz w:val="16"/>
                <w:szCs w:val="14"/>
                <w:lang w:val="en-US" w:eastAsia="x-none"/>
              </w:rPr>
              <w:t>Note: This may be related to outcome of issue 4b)</w:t>
            </w:r>
          </w:p>
          <w:p w14:paraId="7E985B5D"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Companies are encouraged to submit evaluation results based on the agreed EVM to justify the benefits of the candidate solutions</w:t>
            </w:r>
          </w:p>
          <w:p w14:paraId="35F60043" w14:textId="77777777" w:rsidR="00F167C8" w:rsidRPr="00F167C8" w:rsidRDefault="00F167C8" w:rsidP="00F167C8">
            <w:pPr>
              <w:numPr>
                <w:ilvl w:val="0"/>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[Issue 6] For Rel.17 NR FeMIMO, </w:t>
            </w:r>
          </w:p>
          <w:p w14:paraId="3974DF62"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53AA92A9" w14:textId="77777777" w:rsidR="00F167C8" w:rsidRPr="00F167C8" w:rsidRDefault="00F167C8" w:rsidP="00F167C8">
            <w:pPr>
              <w:numPr>
                <w:ilvl w:val="1"/>
                <w:numId w:val="14"/>
              </w:numPr>
              <w:snapToGrid w:val="0"/>
              <w:spacing w:after="0"/>
              <w:contextualSpacing/>
              <w:rPr>
                <w:rFonts w:cs="Calibri"/>
                <w:sz w:val="16"/>
                <w:szCs w:val="14"/>
                <w:lang w:val="en-US" w:eastAsia="x-none"/>
              </w:rPr>
            </w:pPr>
            <w:r w:rsidRPr="00F167C8">
              <w:rPr>
                <w:rFonts w:cs="Calibri"/>
                <w:sz w:val="16"/>
                <w:szCs w:val="14"/>
                <w:lang w:val="en-US" w:eastAsia="x-none"/>
              </w:rPr>
              <w:t xml:space="preserve">Partial BFR will be handled in ITEM 2c (BM enhancement for mTRP) </w:t>
            </w:r>
          </w:p>
          <w:p w14:paraId="03A5324A" w14:textId="79B5523C" w:rsidR="002E629B" w:rsidRPr="002E48BA" w:rsidRDefault="00F167C8" w:rsidP="001713DE">
            <w:pPr>
              <w:spacing w:after="0"/>
              <w:rPr>
                <w:rFonts w:ascii="Times" w:hAnsi="Times" w:cs="Calibri"/>
                <w:sz w:val="16"/>
                <w:szCs w:val="18"/>
                <w:lang w:val="en-US" w:eastAsia="x-none"/>
              </w:rPr>
            </w:pPr>
            <w:r w:rsidRPr="00F167C8">
              <w:rPr>
                <w:rFonts w:ascii="Calibri" w:hAnsi="Calibri" w:cs="Calibri"/>
                <w:sz w:val="16"/>
                <w:szCs w:val="16"/>
                <w:lang w:val="en-US" w:eastAsia="x-none"/>
              </w:rPr>
              <w:lastRenderedPageBreak/>
              <w:t>Note: The target “RAN1#103-e” is understood as best-effort, i.e. to finalize as many components as possible based on the status of companies’ contributions.</w:t>
            </w:r>
          </w:p>
        </w:tc>
      </w:tr>
    </w:tbl>
    <w:p w14:paraId="56FD8565" w14:textId="77777777" w:rsidR="00534AF9" w:rsidRPr="002E629B" w:rsidRDefault="00534AF9" w:rsidP="00534AF9">
      <w:pPr>
        <w:jc w:val="both"/>
        <w:rPr>
          <w:b/>
          <w:lang w:eastAsia="ja-JP"/>
        </w:rPr>
      </w:pPr>
      <w:bookmarkStart w:id="6" w:name="_Hlk525732985"/>
    </w:p>
    <w:bookmarkEnd w:id="4"/>
    <w:p w14:paraId="56F361E9" w14:textId="1F81FA8D" w:rsidR="00534AF9" w:rsidRPr="007A0368" w:rsidRDefault="006C6334" w:rsidP="00534AF9">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Issue 1 </w:t>
      </w:r>
      <w:r w:rsidR="003755AA">
        <w:rPr>
          <w:rFonts w:ascii="Arial" w:eastAsiaTheme="minorEastAsia" w:hAnsi="Arial" w:cs="Arial"/>
          <w:sz w:val="32"/>
          <w:szCs w:val="32"/>
          <w:lang w:eastAsia="zh-CN"/>
        </w:rPr>
        <w:t>–</w:t>
      </w:r>
      <w:r>
        <w:rPr>
          <w:rFonts w:ascii="Arial" w:eastAsiaTheme="minorEastAsia" w:hAnsi="Arial" w:cs="Arial"/>
          <w:sz w:val="32"/>
          <w:szCs w:val="32"/>
          <w:lang w:eastAsia="zh-CN"/>
        </w:rPr>
        <w:t xml:space="preserve"> </w:t>
      </w:r>
      <w:r w:rsidR="00534AF9">
        <w:rPr>
          <w:rFonts w:ascii="Arial" w:eastAsiaTheme="minorEastAsia" w:hAnsi="Arial" w:cs="Arial"/>
          <w:sz w:val="32"/>
          <w:szCs w:val="32"/>
          <w:lang w:eastAsia="zh-CN"/>
        </w:rPr>
        <w:t>Unified TCI Framework</w:t>
      </w:r>
    </w:p>
    <w:p w14:paraId="2CB9658A" w14:textId="0D658B1D" w:rsidR="00534AF9" w:rsidRDefault="00534AF9" w:rsidP="00534AF9">
      <w:pPr>
        <w:jc w:val="both"/>
      </w:pPr>
      <w:r w:rsidRPr="00F00607">
        <w:t xml:space="preserve">In R16, </w:t>
      </w:r>
      <w:r>
        <w:t xml:space="preserve">the </w:t>
      </w:r>
      <w:r w:rsidRPr="00F00607">
        <w:t xml:space="preserve">new PL RS is indicated by a MAC-CE separate from </w:t>
      </w:r>
      <w:r>
        <w:t xml:space="preserve">the </w:t>
      </w:r>
      <w:r w:rsidRPr="00F00607">
        <w:t>beam switch signalling for SP/AP SRS and PUSCH</w:t>
      </w:r>
      <w:r>
        <w:t xml:space="preserve">. </w:t>
      </w:r>
      <w:r w:rsidRPr="00F00607">
        <w:t>To save</w:t>
      </w:r>
      <w:r>
        <w:t xml:space="preserve"> </w:t>
      </w:r>
      <w:r w:rsidRPr="00F00607">
        <w:t>latency</w:t>
      </w:r>
      <w:r>
        <w:t>/overhead</w:t>
      </w:r>
      <w:r w:rsidRPr="00F00607">
        <w:t xml:space="preserve">, </w:t>
      </w:r>
      <w:r>
        <w:t xml:space="preserve">each configured </w:t>
      </w:r>
      <w:r w:rsidR="006C6334">
        <w:t>joint</w:t>
      </w:r>
      <w:r w:rsidRPr="00F00607">
        <w:t xml:space="preserve"> </w:t>
      </w:r>
      <w:r w:rsidR="006C6334">
        <w:t xml:space="preserve">DL/UL </w:t>
      </w:r>
      <w:r w:rsidRPr="00F00607">
        <w:t xml:space="preserve">TCI </w:t>
      </w:r>
      <w:r>
        <w:t xml:space="preserve">state </w:t>
      </w:r>
      <w:r w:rsidRPr="00F00607">
        <w:t xml:space="preserve">can </w:t>
      </w:r>
      <w:r>
        <w:t>contain both</w:t>
      </w:r>
      <w:r w:rsidR="006C6334">
        <w:t xml:space="preserve"> QCL source</w:t>
      </w:r>
      <w:r>
        <w:t xml:space="preserve"> RS and </w:t>
      </w:r>
      <w:r w:rsidR="006C6334">
        <w:t>PL</w:t>
      </w:r>
      <w:r>
        <w:t xml:space="preserve"> RS. Therefore, through the indicated </w:t>
      </w:r>
      <w:r w:rsidR="006C6334">
        <w:t>joint DL/UL</w:t>
      </w:r>
      <w:r>
        <w:t xml:space="preserve"> TCI state, UE can know both </w:t>
      </w:r>
      <w:r w:rsidR="006C6334">
        <w:t>DL/</w:t>
      </w:r>
      <w:r>
        <w:t xml:space="preserve">UL </w:t>
      </w:r>
      <w:r w:rsidR="006C6334">
        <w:t xml:space="preserve">common </w:t>
      </w:r>
      <w:r>
        <w:t xml:space="preserve">beam and PL RS for the corresponding UL Tx. </w:t>
      </w:r>
    </w:p>
    <w:p w14:paraId="5F7930E1" w14:textId="3D486D5A" w:rsidR="00534AF9" w:rsidRDefault="00534AF9" w:rsidP="00534AF9">
      <w:pPr>
        <w:jc w:val="both"/>
        <w:rPr>
          <w:b/>
          <w:lang w:eastAsia="ja-JP"/>
        </w:rPr>
      </w:pPr>
      <w:r w:rsidRPr="002E629B">
        <w:rPr>
          <w:b/>
          <w:u w:val="single"/>
          <w:lang w:eastAsia="ja-JP"/>
        </w:rPr>
        <w:t xml:space="preserve">Proposal </w:t>
      </w:r>
      <w:r w:rsidR="006C6334">
        <w:rPr>
          <w:b/>
          <w:u w:val="single"/>
          <w:lang w:eastAsia="ja-JP"/>
        </w:rPr>
        <w:t>1</w:t>
      </w:r>
      <w:r w:rsidRPr="002E629B">
        <w:rPr>
          <w:b/>
          <w:lang w:eastAsia="ja-JP"/>
        </w:rPr>
        <w:t xml:space="preserve">: </w:t>
      </w:r>
      <w:r w:rsidR="006C6334">
        <w:rPr>
          <w:b/>
          <w:lang w:eastAsia="ja-JP"/>
        </w:rPr>
        <w:t>Joint DL/UL</w:t>
      </w:r>
      <w:r>
        <w:rPr>
          <w:b/>
          <w:lang w:eastAsia="ja-JP"/>
        </w:rPr>
        <w:t xml:space="preserve"> TCI state can indicate both </w:t>
      </w:r>
      <w:r w:rsidR="006C6334">
        <w:rPr>
          <w:b/>
          <w:lang w:eastAsia="ja-JP"/>
        </w:rPr>
        <w:t>QCL source</w:t>
      </w:r>
      <w:r>
        <w:rPr>
          <w:b/>
          <w:lang w:eastAsia="ja-JP"/>
        </w:rPr>
        <w:t xml:space="preserve"> RS and </w:t>
      </w:r>
      <w:r w:rsidRPr="001B2C91">
        <w:rPr>
          <w:b/>
          <w:lang w:eastAsia="ja-JP"/>
        </w:rPr>
        <w:t>PL RS</w:t>
      </w:r>
      <w:r w:rsidR="00722BFA">
        <w:rPr>
          <w:b/>
          <w:lang w:eastAsia="ja-JP"/>
        </w:rPr>
        <w:t>.</w:t>
      </w:r>
    </w:p>
    <w:p w14:paraId="6AA6A96F" w14:textId="77777777" w:rsidR="00F94109" w:rsidRDefault="00F94109" w:rsidP="00F94109">
      <w:pPr>
        <w:jc w:val="both"/>
      </w:pPr>
      <w:r w:rsidRPr="00515D49">
        <w:t>I</w:t>
      </w:r>
      <w:r>
        <w:t xml:space="preserve">n R15, the DCI scheduling PDSCH will indicate corresponding TCI codepoint activated by MAC-CE. Similar mechanism can be extended to joint DL/UL TCI state. MAC-CE can activate a subset of configured joint DL/UL TCI states, and the scheduling DCI can further indicate corresponding joint TCI codepoint to save DCI overhead. </w:t>
      </w:r>
    </w:p>
    <w:p w14:paraId="16BEE73C" w14:textId="4504CB07" w:rsidR="00F94109" w:rsidRPr="00E32A91" w:rsidRDefault="00F94109" w:rsidP="00F94109">
      <w:pPr>
        <w:jc w:val="both"/>
        <w:rPr>
          <w:b/>
          <w:lang w:eastAsia="ja-JP"/>
        </w:rPr>
      </w:pPr>
      <w:r w:rsidRPr="002E629B">
        <w:rPr>
          <w:b/>
          <w:u w:val="single"/>
          <w:lang w:eastAsia="ja-JP"/>
        </w:rPr>
        <w:t xml:space="preserve">Proposal </w:t>
      </w:r>
      <w:r w:rsidR="00722BFA">
        <w:rPr>
          <w:b/>
          <w:u w:val="single"/>
          <w:lang w:eastAsia="ja-JP"/>
        </w:rPr>
        <w:t>2</w:t>
      </w:r>
      <w:r w:rsidRPr="002E629B">
        <w:rPr>
          <w:b/>
          <w:lang w:eastAsia="ja-JP"/>
        </w:rPr>
        <w:t xml:space="preserve">: </w:t>
      </w:r>
      <w:r>
        <w:rPr>
          <w:b/>
          <w:lang w:eastAsia="ja-JP"/>
        </w:rPr>
        <w:t xml:space="preserve">For PDSCH/PUSCH scheduled by DCI, </w:t>
      </w:r>
      <w:r w:rsidRPr="006F0AFA">
        <w:rPr>
          <w:b/>
          <w:lang w:eastAsia="ja-JP"/>
        </w:rPr>
        <w:t xml:space="preserve">MAC-CE can activate a subset of configured </w:t>
      </w:r>
      <w:r>
        <w:rPr>
          <w:b/>
          <w:lang w:eastAsia="ja-JP"/>
        </w:rPr>
        <w:t>joint DL/</w:t>
      </w:r>
      <w:r w:rsidRPr="006F0AFA">
        <w:rPr>
          <w:b/>
          <w:lang w:eastAsia="ja-JP"/>
        </w:rPr>
        <w:t xml:space="preserve">UL TCI states, and the scheduling DCI can indicate corresponding </w:t>
      </w:r>
      <w:r>
        <w:rPr>
          <w:b/>
          <w:lang w:eastAsia="ja-JP"/>
        </w:rPr>
        <w:t>joint</w:t>
      </w:r>
      <w:r w:rsidRPr="006F0AFA">
        <w:rPr>
          <w:b/>
          <w:lang w:eastAsia="ja-JP"/>
        </w:rPr>
        <w:t xml:space="preserve"> TCI codepoint</w:t>
      </w:r>
      <w:r>
        <w:rPr>
          <w:b/>
          <w:lang w:eastAsia="ja-JP"/>
        </w:rPr>
        <w:t>.</w:t>
      </w:r>
    </w:p>
    <w:p w14:paraId="37351D5E" w14:textId="723ADD54" w:rsidR="00F94109" w:rsidRDefault="00F94109" w:rsidP="00435F6B">
      <w:pPr>
        <w:jc w:val="both"/>
      </w:pPr>
      <w:r>
        <w:t xml:space="preserve">In R16, a single MAC-CE can simultaneously activate the same TCI state ID across multiple CCs. The same concept should be extended to the joint DL/UL TCI state to save beam update overhead and latency. </w:t>
      </w:r>
    </w:p>
    <w:p w14:paraId="7F7F3CEE" w14:textId="1ACCC904" w:rsidR="00F94109" w:rsidRPr="00722BFA" w:rsidRDefault="00F94109" w:rsidP="00435F6B">
      <w:pPr>
        <w:jc w:val="both"/>
        <w:rPr>
          <w:b/>
          <w:lang w:eastAsia="ja-JP"/>
        </w:rPr>
      </w:pPr>
      <w:r w:rsidRPr="00F94109">
        <w:rPr>
          <w:b/>
          <w:u w:val="single"/>
          <w:lang w:eastAsia="ja-JP"/>
        </w:rPr>
        <w:t xml:space="preserve">Proposal </w:t>
      </w:r>
      <w:r w:rsidR="00722BFA">
        <w:rPr>
          <w:b/>
          <w:u w:val="single"/>
          <w:lang w:eastAsia="ja-JP"/>
        </w:rPr>
        <w:t>3</w:t>
      </w:r>
      <w:r w:rsidRPr="00F94109">
        <w:rPr>
          <w:b/>
          <w:lang w:eastAsia="ja-JP"/>
        </w:rPr>
        <w:t>: Support simultaneous joint DL/UL TCI state activation across multiple CCs.</w:t>
      </w:r>
    </w:p>
    <w:p w14:paraId="4691EDA9" w14:textId="42E70573" w:rsidR="00435F6B" w:rsidRPr="00435F6B" w:rsidRDefault="00435F6B" w:rsidP="00435F6B">
      <w:pPr>
        <w:jc w:val="both"/>
      </w:pPr>
      <w:r w:rsidRPr="00435F6B">
        <w:t xml:space="preserve">In R15, default PDSCH beam follows the beam of CORESET with lowest ID in latest monitored slot. The varying default PDSCH beam across slots may not be friendly for optimization: even if that CORESET beam does not yield highest SNR, the default PDSCH beam </w:t>
      </w:r>
      <w:proofErr w:type="gramStart"/>
      <w:r w:rsidRPr="00435F6B">
        <w:t>has to</w:t>
      </w:r>
      <w:proofErr w:type="gramEnd"/>
      <w:r w:rsidRPr="00435F6B">
        <w:t xml:space="preserve"> follow it. With the introduction of common beam, default PDSCH beam can be configured to always follow the common beam optimized by certain criterion. For low mobility UE, default PDSCH beam can follow the common beam with the best SNR, while for high mobility UE, default PDSCH beam can follow the common beam with wide beam width for better tracking. Therefore, it would be beneficial to allow default PDSCH beam to follow the common beam</w:t>
      </w:r>
      <w:r>
        <w:t>, indicated by the joint DL/UL TCI state</w:t>
      </w:r>
      <w:r w:rsidRPr="00435F6B">
        <w:t>.</w:t>
      </w:r>
    </w:p>
    <w:p w14:paraId="67573B38" w14:textId="7D9C6AFA" w:rsidR="00435F6B" w:rsidRPr="00435F6B" w:rsidRDefault="00435F6B" w:rsidP="00435F6B">
      <w:pPr>
        <w:jc w:val="both"/>
        <w:rPr>
          <w:b/>
          <w:lang w:eastAsia="ja-JP"/>
        </w:rPr>
      </w:pPr>
      <w:r w:rsidRPr="00435F6B">
        <w:rPr>
          <w:b/>
          <w:u w:val="single"/>
          <w:lang w:eastAsia="ja-JP"/>
        </w:rPr>
        <w:t xml:space="preserve">Proposal </w:t>
      </w:r>
      <w:r w:rsidR="00AB27BD">
        <w:rPr>
          <w:b/>
          <w:u w:val="single"/>
          <w:lang w:eastAsia="ja-JP"/>
        </w:rPr>
        <w:t>4</w:t>
      </w:r>
      <w:r w:rsidRPr="00435F6B">
        <w:rPr>
          <w:b/>
          <w:lang w:eastAsia="ja-JP"/>
        </w:rPr>
        <w:t xml:space="preserve">: </w:t>
      </w:r>
      <w:r>
        <w:rPr>
          <w:b/>
          <w:lang w:eastAsia="ja-JP"/>
        </w:rPr>
        <w:t>Joint DL/UL TCI state can indicate</w:t>
      </w:r>
      <w:r w:rsidRPr="00435F6B">
        <w:rPr>
          <w:b/>
          <w:lang w:eastAsia="ja-JP"/>
        </w:rPr>
        <w:t xml:space="preserve"> default PDSCH beam.</w:t>
      </w:r>
    </w:p>
    <w:p w14:paraId="2F0521DA" w14:textId="67540EA1" w:rsidR="00FF5659" w:rsidRPr="00515D49" w:rsidRDefault="00FF5659" w:rsidP="00B920B6">
      <w:pPr>
        <w:jc w:val="both"/>
      </w:pPr>
      <w:r w:rsidRPr="00515D49">
        <w:t>I</w:t>
      </w:r>
      <w:r>
        <w:t xml:space="preserve">n R15, </w:t>
      </w:r>
      <w:r w:rsidR="00B920B6">
        <w:t xml:space="preserve">the TCI state of periodic CSI-RS and the spatial relation of periodic SRS </w:t>
      </w:r>
      <w:proofErr w:type="gramStart"/>
      <w:r w:rsidR="00B920B6">
        <w:t>have to</w:t>
      </w:r>
      <w:proofErr w:type="gramEnd"/>
      <w:r w:rsidR="00B920B6">
        <w:t xml:space="preserve"> be updated via RRC. To save RRC reconfiguration latency, the joint DL/UL TCI state of periodic CSI-RS and SRS can be dynamically updated via </w:t>
      </w:r>
    </w:p>
    <w:p w14:paraId="72F06928" w14:textId="2A9F8709" w:rsidR="00FF5659" w:rsidRDefault="00FF5659" w:rsidP="00FF5659">
      <w:pPr>
        <w:jc w:val="both"/>
        <w:rPr>
          <w:b/>
          <w:lang w:eastAsia="ja-JP"/>
        </w:rPr>
      </w:pPr>
      <w:r w:rsidRPr="002E629B">
        <w:rPr>
          <w:b/>
          <w:u w:val="single"/>
          <w:lang w:eastAsia="ja-JP"/>
        </w:rPr>
        <w:t xml:space="preserve">Proposal </w:t>
      </w:r>
      <w:r w:rsidR="00AB27BD">
        <w:rPr>
          <w:b/>
          <w:u w:val="single"/>
          <w:lang w:eastAsia="ja-JP"/>
        </w:rPr>
        <w:t>5</w:t>
      </w:r>
      <w:r w:rsidRPr="002E629B">
        <w:rPr>
          <w:b/>
          <w:lang w:eastAsia="ja-JP"/>
        </w:rPr>
        <w:t xml:space="preserve">: </w:t>
      </w:r>
      <w:r w:rsidR="00B920B6">
        <w:rPr>
          <w:b/>
          <w:lang w:eastAsia="ja-JP"/>
        </w:rPr>
        <w:t>Joint DL/UL TCI state of periodic CSI-RS and SRS can be updated by MAC-CE or DCI</w:t>
      </w:r>
      <w:r>
        <w:rPr>
          <w:b/>
          <w:lang w:eastAsia="ja-JP"/>
        </w:rPr>
        <w:t>.</w:t>
      </w:r>
    </w:p>
    <w:p w14:paraId="47550819" w14:textId="5DCBBB89" w:rsidR="00534AF9" w:rsidRDefault="00534AF9" w:rsidP="00534AF9">
      <w:pPr>
        <w:jc w:val="both"/>
      </w:pPr>
      <w:r w:rsidRPr="00316F62">
        <w:t xml:space="preserve">In R15, </w:t>
      </w:r>
      <w:r>
        <w:t xml:space="preserve">for CB/NCB based PUSCH, UE needs to transmit SRS before the PUSCH scheduling DCI to determine the TPMI/TRI/SRI. Without major change of legacy behaviour, SRS transmission prior to the scheduling DCI should be preserved, and the determined TPMI/TRI/SRI can be indicated in or together with the </w:t>
      </w:r>
      <w:r w:rsidR="00333935">
        <w:t>joint DL/</w:t>
      </w:r>
      <w:r>
        <w:t>UL TCI state in the scheduling DCI.</w:t>
      </w:r>
    </w:p>
    <w:p w14:paraId="24247130" w14:textId="7CDDC1B6" w:rsidR="00534AF9" w:rsidRDefault="00534AF9" w:rsidP="00534AF9">
      <w:pPr>
        <w:jc w:val="both"/>
        <w:rPr>
          <w:b/>
          <w:lang w:eastAsia="ja-JP"/>
        </w:rPr>
      </w:pPr>
      <w:r w:rsidRPr="002E629B">
        <w:rPr>
          <w:b/>
          <w:u w:val="single"/>
          <w:lang w:eastAsia="ja-JP"/>
        </w:rPr>
        <w:t xml:space="preserve">Proposal </w:t>
      </w:r>
      <w:r w:rsidR="00AB27BD">
        <w:rPr>
          <w:b/>
          <w:u w:val="single"/>
          <w:lang w:eastAsia="ja-JP"/>
        </w:rPr>
        <w:t>6</w:t>
      </w:r>
      <w:r w:rsidRPr="002E629B">
        <w:rPr>
          <w:b/>
          <w:lang w:eastAsia="ja-JP"/>
        </w:rPr>
        <w:t xml:space="preserve">: </w:t>
      </w:r>
      <w:r>
        <w:rPr>
          <w:b/>
          <w:lang w:eastAsia="ja-JP"/>
        </w:rPr>
        <w:t xml:space="preserve">For CB/NCB based PUSCH, scheduling DCI should indicate corresponding TPMI/TRI/SRI in or together with the </w:t>
      </w:r>
      <w:r w:rsidR="00333935">
        <w:rPr>
          <w:b/>
          <w:lang w:eastAsia="ja-JP"/>
        </w:rPr>
        <w:t>joint DL/</w:t>
      </w:r>
      <w:r>
        <w:rPr>
          <w:b/>
          <w:lang w:eastAsia="ja-JP"/>
        </w:rPr>
        <w:t>UL TCI state.</w:t>
      </w:r>
    </w:p>
    <w:p w14:paraId="4A745B52" w14:textId="225CBBCB" w:rsidR="00534AF9" w:rsidRPr="002E629B" w:rsidRDefault="00534AF9" w:rsidP="00534AF9">
      <w:pPr>
        <w:jc w:val="both"/>
      </w:pPr>
      <w:r>
        <w:t xml:space="preserve">For UE supporting </w:t>
      </w:r>
      <w:r w:rsidR="00333935">
        <w:t>joint DL/</w:t>
      </w:r>
      <w:r>
        <w:t xml:space="preserve">UL TCI state, gNB should only enable either </w:t>
      </w:r>
      <w:r w:rsidR="00333935">
        <w:t>joint DL/</w:t>
      </w:r>
      <w:r>
        <w:t xml:space="preserve">UL TCI state or spatial relation for the UL beam indication. This will reduce signalling complexity as well as UE memory to store both configured </w:t>
      </w:r>
      <w:r w:rsidR="00333935">
        <w:t>joint DL/</w:t>
      </w:r>
      <w:r>
        <w:t xml:space="preserve">UL TCI states and spatial relations. </w:t>
      </w:r>
    </w:p>
    <w:p w14:paraId="6CE0260A" w14:textId="303CFAA1" w:rsidR="00534AF9" w:rsidRPr="00E32A91" w:rsidRDefault="00534AF9" w:rsidP="00534AF9">
      <w:pPr>
        <w:jc w:val="both"/>
        <w:rPr>
          <w:b/>
          <w:lang w:eastAsia="ja-JP"/>
        </w:rPr>
      </w:pPr>
      <w:r w:rsidRPr="002E629B">
        <w:rPr>
          <w:b/>
          <w:u w:val="single"/>
          <w:lang w:eastAsia="ja-JP"/>
        </w:rPr>
        <w:t xml:space="preserve">Proposal </w:t>
      </w:r>
      <w:r w:rsidR="00AB27BD">
        <w:rPr>
          <w:b/>
          <w:u w:val="single"/>
          <w:lang w:eastAsia="ja-JP"/>
        </w:rPr>
        <w:t>7</w:t>
      </w:r>
      <w:r w:rsidRPr="002E629B">
        <w:rPr>
          <w:b/>
          <w:lang w:eastAsia="ja-JP"/>
        </w:rPr>
        <w:t>:</w:t>
      </w:r>
      <w:r>
        <w:rPr>
          <w:b/>
          <w:lang w:eastAsia="ja-JP"/>
        </w:rPr>
        <w:t xml:space="preserve"> gNB should enable either </w:t>
      </w:r>
      <w:r w:rsidR="004762AF">
        <w:rPr>
          <w:b/>
          <w:lang w:eastAsia="ja-JP"/>
        </w:rPr>
        <w:t>joint DL/</w:t>
      </w:r>
      <w:r>
        <w:rPr>
          <w:b/>
          <w:lang w:eastAsia="ja-JP"/>
        </w:rPr>
        <w:t>UL TCI state or spatial relation for UL beam indication.</w:t>
      </w:r>
    </w:p>
    <w:p w14:paraId="338AA8D4" w14:textId="77777777" w:rsidR="002A12F7" w:rsidRPr="002A12F7" w:rsidRDefault="002A12F7" w:rsidP="002A12F7">
      <w:pPr>
        <w:jc w:val="both"/>
      </w:pPr>
      <w:bookmarkStart w:id="7" w:name="_Hlk54257923"/>
      <w:r w:rsidRPr="002A12F7">
        <w:t xml:space="preserve">For UEs in </w:t>
      </w:r>
      <w:proofErr w:type="gramStart"/>
      <w:r w:rsidRPr="002A12F7">
        <w:t>close proximity</w:t>
      </w:r>
      <w:proofErr w:type="gramEnd"/>
      <w:r w:rsidRPr="002A12F7">
        <w:t xml:space="preserve">, a common beam can be selected for them to save beam management latency/overhead. In addition, in IIOT scenario, a UE may not need large bandwidth. It would be more efficient to group UEs that can be served by a wider common beam and FDM them, instead of individual UE-specific narrower beams but with more symbols. The common beam can be updated via a group common DCI for a UE group. The beam measurement &amp; </w:t>
      </w:r>
      <w:r w:rsidRPr="002A12F7">
        <w:lastRenderedPageBreak/>
        <w:t xml:space="preserve">report can be done by one UE in the group. gNB can learn the UEs sharing the same group via positioning report or UE feedback of group formation, e.g. UEs installed on the same moving object, e.g. car/train/robot, can inform gNB that a common beam can be selected for them. </w:t>
      </w:r>
    </w:p>
    <w:p w14:paraId="697B922C" w14:textId="52951400" w:rsidR="002A12F7" w:rsidRPr="002A12F7" w:rsidRDefault="002A12F7" w:rsidP="002A12F7">
      <w:pPr>
        <w:jc w:val="both"/>
        <w:rPr>
          <w:b/>
        </w:rPr>
      </w:pPr>
      <w:r w:rsidRPr="002A12F7">
        <w:rPr>
          <w:b/>
          <w:u w:val="single"/>
        </w:rPr>
        <w:t xml:space="preserve">Proposal </w:t>
      </w:r>
      <w:r>
        <w:rPr>
          <w:b/>
          <w:u w:val="single"/>
        </w:rPr>
        <w:t>8</w:t>
      </w:r>
      <w:r w:rsidRPr="002A12F7">
        <w:rPr>
          <w:b/>
        </w:rPr>
        <w:t>: Support a common beam selected for a group of UEs.</w:t>
      </w:r>
    </w:p>
    <w:p w14:paraId="73344703" w14:textId="17642C4F" w:rsidR="009804DE" w:rsidRPr="002A12F7" w:rsidRDefault="009804DE" w:rsidP="009804DE">
      <w:pPr>
        <w:jc w:val="both"/>
      </w:pPr>
      <w:r>
        <w:t xml:space="preserve">In R15/16, after receiving the beam report, gNB will activate the new beam via MAC-CE which, however, will increase the beam update latency. </w:t>
      </w:r>
      <w:r w:rsidR="00693799">
        <w:t xml:space="preserve">To further reduce the beam update latency especially in high mobility scenario, </w:t>
      </w:r>
      <w:r w:rsidR="00CE331E">
        <w:t>a</w:t>
      </w:r>
      <w:r w:rsidR="00693799">
        <w:t xml:space="preserve"> common beam can be implicitly updated via the beam report</w:t>
      </w:r>
      <w:r w:rsidR="00A66F25">
        <w:t>, e.g. the 1</w:t>
      </w:r>
      <w:r w:rsidR="00A66F25" w:rsidRPr="00A66F25">
        <w:rPr>
          <w:vertAlign w:val="superscript"/>
        </w:rPr>
        <w:t>st</w:t>
      </w:r>
      <w:r w:rsidR="00A66F25">
        <w:t xml:space="preserve"> reported beam will be used as the common beam after the report.</w:t>
      </w:r>
    </w:p>
    <w:p w14:paraId="4D040816" w14:textId="7801F594" w:rsidR="009804DE" w:rsidRPr="00A66F25" w:rsidRDefault="00693799" w:rsidP="009804DE">
      <w:pPr>
        <w:jc w:val="both"/>
        <w:rPr>
          <w:b/>
        </w:rPr>
      </w:pPr>
      <w:r w:rsidRPr="002A12F7">
        <w:rPr>
          <w:b/>
          <w:u w:val="single"/>
        </w:rPr>
        <w:t xml:space="preserve">Proposal </w:t>
      </w:r>
      <w:r>
        <w:rPr>
          <w:b/>
          <w:u w:val="single"/>
        </w:rPr>
        <w:t>9</w:t>
      </w:r>
      <w:r w:rsidRPr="002A12F7">
        <w:rPr>
          <w:b/>
        </w:rPr>
        <w:t xml:space="preserve">: Support </w:t>
      </w:r>
      <w:r>
        <w:rPr>
          <w:b/>
        </w:rPr>
        <w:t xml:space="preserve">implicit update of </w:t>
      </w:r>
      <w:r w:rsidR="00CE331E">
        <w:rPr>
          <w:b/>
        </w:rPr>
        <w:t>a</w:t>
      </w:r>
      <w:r>
        <w:rPr>
          <w:b/>
        </w:rPr>
        <w:t xml:space="preserve"> common beam via L1 report</w:t>
      </w:r>
      <w:r w:rsidRPr="002A12F7">
        <w:rPr>
          <w:b/>
        </w:rPr>
        <w:t>.</w:t>
      </w:r>
    </w:p>
    <w:p w14:paraId="2EB6FFE5" w14:textId="77777777" w:rsidR="009804DE" w:rsidRDefault="009804DE" w:rsidP="009804DE">
      <w:pPr>
        <w:jc w:val="center"/>
      </w:pPr>
      <w:r>
        <w:rPr>
          <w:noProof/>
          <w:lang w:eastAsia="ja-JP"/>
        </w:rPr>
        <w:drawing>
          <wp:inline distT="0" distB="0" distL="0" distR="0" wp14:anchorId="3FABA30C" wp14:editId="369AD1F6">
            <wp:extent cx="5241908" cy="1834458"/>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7032" cy="1839751"/>
                    </a:xfrm>
                    <a:prstGeom prst="rect">
                      <a:avLst/>
                    </a:prstGeom>
                    <a:noFill/>
                  </pic:spPr>
                </pic:pic>
              </a:graphicData>
            </a:graphic>
          </wp:inline>
        </w:drawing>
      </w:r>
    </w:p>
    <w:p w14:paraId="3D83CE1B" w14:textId="25A5C406" w:rsidR="009804DE" w:rsidRDefault="009804DE" w:rsidP="009804DE">
      <w:pPr>
        <w:spacing w:after="200"/>
        <w:jc w:val="center"/>
        <w:rPr>
          <w:b/>
          <w:iCs/>
          <w:szCs w:val="22"/>
        </w:rPr>
      </w:pPr>
      <w:r w:rsidRPr="00723189">
        <w:rPr>
          <w:b/>
          <w:iCs/>
          <w:szCs w:val="22"/>
        </w:rPr>
        <w:t>Figure</w:t>
      </w:r>
      <w:r>
        <w:rPr>
          <w:b/>
          <w:iCs/>
          <w:szCs w:val="22"/>
        </w:rPr>
        <w:t xml:space="preserve"> </w:t>
      </w:r>
      <w:r w:rsidR="00D22641">
        <w:rPr>
          <w:b/>
          <w:iCs/>
          <w:szCs w:val="22"/>
        </w:rPr>
        <w:t>1</w:t>
      </w:r>
      <w:r w:rsidRPr="00723189">
        <w:rPr>
          <w:b/>
          <w:iCs/>
          <w:szCs w:val="22"/>
        </w:rPr>
        <w:t xml:space="preserve">: </w:t>
      </w:r>
      <w:r>
        <w:rPr>
          <w:b/>
          <w:iCs/>
          <w:szCs w:val="22"/>
        </w:rPr>
        <w:t>Implicit Beam Update via L1 Report</w:t>
      </w:r>
    </w:p>
    <w:p w14:paraId="15E8F111" w14:textId="77777777" w:rsidR="009804DE" w:rsidRPr="00E32A91" w:rsidRDefault="009804DE" w:rsidP="00ED0C7A">
      <w:pPr>
        <w:jc w:val="both"/>
        <w:rPr>
          <w:b/>
          <w:lang w:eastAsia="ja-JP"/>
        </w:rPr>
      </w:pPr>
    </w:p>
    <w:p w14:paraId="6D660D06" w14:textId="330A4DB9" w:rsidR="00ED0C7A" w:rsidRPr="00DA4FF4" w:rsidRDefault="004C15D2" w:rsidP="00ED0C7A">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Issue 2</w:t>
      </w:r>
      <w:r w:rsidR="003755AA">
        <w:rPr>
          <w:rFonts w:ascii="Arial" w:eastAsiaTheme="minorEastAsia" w:hAnsi="Arial" w:cs="Arial"/>
          <w:sz w:val="32"/>
          <w:szCs w:val="32"/>
          <w:lang w:eastAsia="zh-CN"/>
        </w:rPr>
        <w:t xml:space="preserve"> –</w:t>
      </w:r>
      <w:r>
        <w:rPr>
          <w:rFonts w:ascii="Arial" w:eastAsiaTheme="minorEastAsia" w:hAnsi="Arial" w:cs="Arial"/>
          <w:sz w:val="32"/>
          <w:szCs w:val="32"/>
          <w:lang w:eastAsia="zh-CN"/>
        </w:rPr>
        <w:t xml:space="preserve"> </w:t>
      </w:r>
      <w:r w:rsidR="00ED0C7A" w:rsidRPr="00AF13F7">
        <w:rPr>
          <w:rFonts w:ascii="Arial" w:eastAsiaTheme="minorEastAsia" w:hAnsi="Arial" w:cs="Arial"/>
          <w:sz w:val="32"/>
          <w:szCs w:val="32"/>
          <w:lang w:eastAsia="zh-CN"/>
        </w:rPr>
        <w:t>L1/L2</w:t>
      </w:r>
      <w:r>
        <w:rPr>
          <w:rFonts w:ascii="Arial" w:eastAsiaTheme="minorEastAsia" w:hAnsi="Arial" w:cs="Arial"/>
          <w:sz w:val="32"/>
          <w:szCs w:val="32"/>
          <w:lang w:eastAsia="zh-CN"/>
        </w:rPr>
        <w:t xml:space="preserve"> </w:t>
      </w:r>
      <w:r w:rsidR="00ED0C7A">
        <w:rPr>
          <w:rFonts w:ascii="Arial" w:eastAsiaTheme="minorEastAsia" w:hAnsi="Arial" w:cs="Arial"/>
          <w:sz w:val="32"/>
          <w:szCs w:val="32"/>
          <w:lang w:eastAsia="zh-CN"/>
        </w:rPr>
        <w:t>C</w:t>
      </w:r>
      <w:r w:rsidR="00ED0C7A" w:rsidRPr="00AF13F7">
        <w:rPr>
          <w:rFonts w:ascii="Arial" w:eastAsiaTheme="minorEastAsia" w:hAnsi="Arial" w:cs="Arial"/>
          <w:sz w:val="32"/>
          <w:szCs w:val="32"/>
          <w:lang w:eastAsia="zh-CN"/>
        </w:rPr>
        <w:t xml:space="preserve">entric </w:t>
      </w:r>
      <w:r w:rsidR="00ED0C7A">
        <w:rPr>
          <w:rFonts w:ascii="Arial" w:eastAsiaTheme="minorEastAsia" w:hAnsi="Arial" w:cs="Arial"/>
          <w:sz w:val="32"/>
          <w:szCs w:val="32"/>
          <w:lang w:eastAsia="zh-CN"/>
        </w:rPr>
        <w:t>I</w:t>
      </w:r>
      <w:r w:rsidR="00ED0C7A" w:rsidRPr="00AF13F7">
        <w:rPr>
          <w:rFonts w:ascii="Arial" w:eastAsiaTheme="minorEastAsia" w:hAnsi="Arial" w:cs="Arial"/>
          <w:sz w:val="32"/>
          <w:szCs w:val="32"/>
          <w:lang w:eastAsia="zh-CN"/>
        </w:rPr>
        <w:t>nter-</w:t>
      </w:r>
      <w:r w:rsidR="00ED0C7A">
        <w:rPr>
          <w:rFonts w:ascii="Arial" w:eastAsiaTheme="minorEastAsia" w:hAnsi="Arial" w:cs="Arial"/>
          <w:sz w:val="32"/>
          <w:szCs w:val="32"/>
          <w:lang w:eastAsia="zh-CN"/>
        </w:rPr>
        <w:t>C</w:t>
      </w:r>
      <w:r w:rsidR="00ED0C7A" w:rsidRPr="00AF13F7">
        <w:rPr>
          <w:rFonts w:ascii="Arial" w:eastAsiaTheme="minorEastAsia" w:hAnsi="Arial" w:cs="Arial"/>
          <w:sz w:val="32"/>
          <w:szCs w:val="32"/>
          <w:lang w:eastAsia="zh-CN"/>
        </w:rPr>
        <w:t xml:space="preserve">ell </w:t>
      </w:r>
      <w:r w:rsidR="00ED0C7A">
        <w:rPr>
          <w:rFonts w:ascii="Arial" w:eastAsiaTheme="minorEastAsia" w:hAnsi="Arial" w:cs="Arial"/>
          <w:sz w:val="32"/>
          <w:szCs w:val="32"/>
          <w:lang w:eastAsia="zh-CN"/>
        </w:rPr>
        <w:t>M</w:t>
      </w:r>
      <w:r w:rsidR="00ED0C7A" w:rsidRPr="00AF13F7">
        <w:rPr>
          <w:rFonts w:ascii="Arial" w:eastAsiaTheme="minorEastAsia" w:hAnsi="Arial" w:cs="Arial"/>
          <w:sz w:val="32"/>
          <w:szCs w:val="32"/>
          <w:lang w:eastAsia="zh-CN"/>
        </w:rPr>
        <w:t>obility</w:t>
      </w:r>
    </w:p>
    <w:p w14:paraId="2F4C4CA4" w14:textId="02F4E783" w:rsidR="00ED0C7A" w:rsidRPr="00ED0C7A" w:rsidRDefault="00ED0C7A" w:rsidP="00ED0C7A">
      <w:pPr>
        <w:jc w:val="both"/>
      </w:pPr>
      <w:r>
        <w:t>In inter-cell mobility, e</w:t>
      </w:r>
      <w:r w:rsidRPr="000D68A7">
        <w:t xml:space="preserve">ach serving cell </w:t>
      </w:r>
      <w:r>
        <w:t xml:space="preserve">can </w:t>
      </w:r>
      <w:r w:rsidRPr="000D68A7">
        <w:t>ha</w:t>
      </w:r>
      <w:r>
        <w:t>ve</w:t>
      </w:r>
      <w:r w:rsidRPr="000D68A7">
        <w:t xml:space="preserve"> single or multiple TRPs sharing same PCI</w:t>
      </w:r>
      <w:r>
        <w:t xml:space="preserve">, which is unique per serving cell as in R16. To facilitate fast beam switching across different cells, </w:t>
      </w:r>
      <w:r w:rsidRPr="000C7DE5">
        <w:t xml:space="preserve">TCI state of </w:t>
      </w:r>
      <w:r>
        <w:t>a</w:t>
      </w:r>
      <w:r w:rsidRPr="000C7DE5">
        <w:t xml:space="preserve"> serving cell can be QCLed with SSB </w:t>
      </w:r>
      <w:r>
        <w:t xml:space="preserve">from </w:t>
      </w:r>
      <w:r w:rsidRPr="000C7DE5">
        <w:t>a neighbour non-serving cell</w:t>
      </w:r>
      <w:r>
        <w:t>, in addition to SSB from the serving cell. The SSB from n</w:t>
      </w:r>
      <w:r w:rsidRPr="00BB68EE">
        <w:t>eighbour non-serving cell is only for beam indication purpose</w:t>
      </w:r>
      <w:r>
        <w:t xml:space="preserve">. In this way, cell switching can be implicitly achieved by indicating the TCI state QCLed with SSB from different cells. This is illustrated in Figure </w:t>
      </w:r>
      <w:r w:rsidR="00BD5952">
        <w:t>2</w:t>
      </w:r>
      <w:r>
        <w:t xml:space="preserve">, where UE can be indicated with TCI state QCLed with SSB from its own serving cell with PCI 0, or with SSB from a neighbour non-serving cell with PCI 3 or 4. Moreover, the concept of QCL source from non-serving cell has been adopted in R16 Positioning. </w:t>
      </w:r>
    </w:p>
    <w:p w14:paraId="641863DE" w14:textId="1478CA81" w:rsidR="00ED0C7A" w:rsidRDefault="00ED0C7A" w:rsidP="00ED0C7A">
      <w:pPr>
        <w:jc w:val="both"/>
        <w:rPr>
          <w:b/>
          <w:lang w:eastAsia="ja-JP"/>
        </w:rPr>
      </w:pPr>
      <w:r w:rsidRPr="002E629B">
        <w:rPr>
          <w:b/>
          <w:u w:val="single"/>
          <w:lang w:eastAsia="ja-JP"/>
        </w:rPr>
        <w:t xml:space="preserve">Proposal </w:t>
      </w:r>
      <w:r w:rsidR="00B0413C">
        <w:rPr>
          <w:b/>
          <w:u w:val="single"/>
          <w:lang w:eastAsia="ja-JP"/>
        </w:rPr>
        <w:t>10</w:t>
      </w:r>
      <w:r w:rsidRPr="002E629B">
        <w:rPr>
          <w:b/>
          <w:lang w:eastAsia="ja-JP"/>
        </w:rPr>
        <w:t xml:space="preserve">: </w:t>
      </w:r>
      <w:r w:rsidR="00A14E4D">
        <w:rPr>
          <w:b/>
          <w:lang w:eastAsia="ja-JP"/>
        </w:rPr>
        <w:t>S</w:t>
      </w:r>
      <w:r>
        <w:rPr>
          <w:b/>
          <w:lang w:eastAsia="ja-JP"/>
        </w:rPr>
        <w:t>upport TCI state with QCL source as SSB from non-serving PCI.</w:t>
      </w:r>
    </w:p>
    <w:p w14:paraId="352ABBF6" w14:textId="77777777" w:rsidR="00D82740" w:rsidRDefault="00D82740" w:rsidP="00D82740">
      <w:pPr>
        <w:jc w:val="both"/>
        <w:rPr>
          <w:lang w:val="en-US"/>
        </w:rPr>
      </w:pPr>
      <w:r>
        <w:rPr>
          <w:lang w:val="en-US"/>
        </w:rPr>
        <w:t>In L1/L2 based inter-cell mobility</w:t>
      </w:r>
      <w:r w:rsidRPr="007332CB">
        <w:rPr>
          <w:lang w:val="en-US"/>
        </w:rPr>
        <w:t xml:space="preserve">, </w:t>
      </w:r>
      <w:r>
        <w:rPr>
          <w:lang w:val="en-US"/>
        </w:rPr>
        <w:t>candidate cells or PCIs</w:t>
      </w:r>
      <w:r w:rsidRPr="007332CB">
        <w:rPr>
          <w:lang w:val="en-US"/>
        </w:rPr>
        <w:t xml:space="preserve"> can </w:t>
      </w:r>
      <w:r>
        <w:rPr>
          <w:lang w:val="en-US"/>
        </w:rPr>
        <w:t>be widely separated with different propagation delays to the UE</w:t>
      </w:r>
      <w:r w:rsidRPr="007332CB">
        <w:rPr>
          <w:lang w:val="en-US"/>
        </w:rPr>
        <w:t xml:space="preserve"> and, hence, UE may have different TAs to </w:t>
      </w:r>
      <w:r>
        <w:rPr>
          <w:lang w:val="en-US"/>
        </w:rPr>
        <w:t>them. Upon a new cell or PCI is selected</w:t>
      </w:r>
      <w:r w:rsidRPr="007332CB">
        <w:rPr>
          <w:lang w:val="en-US"/>
        </w:rPr>
        <w:t xml:space="preserve">, gNB </w:t>
      </w:r>
      <w:r>
        <w:rPr>
          <w:lang w:val="en-US"/>
        </w:rPr>
        <w:t>may have</w:t>
      </w:r>
      <w:r w:rsidRPr="007332CB">
        <w:rPr>
          <w:lang w:val="en-US"/>
        </w:rPr>
        <w:t xml:space="preserve"> to update </w:t>
      </w:r>
      <w:r>
        <w:rPr>
          <w:lang w:val="en-US"/>
        </w:rPr>
        <w:t xml:space="preserve">the corresponding </w:t>
      </w:r>
      <w:r w:rsidRPr="007332CB">
        <w:rPr>
          <w:lang w:val="en-US"/>
        </w:rPr>
        <w:t>TA</w:t>
      </w:r>
      <w:r>
        <w:rPr>
          <w:lang w:val="en-US"/>
        </w:rPr>
        <w:t xml:space="preserve">, e.g. via PDCCH order. </w:t>
      </w:r>
      <w:r>
        <w:t xml:space="preserve">To reduce the cell or PCI switching latency, the TA can be periodically maintained per candidate non-serving cell or PCI before they are selected to serve the UE. Once </w:t>
      </w:r>
      <w:r w:rsidRPr="00980258">
        <w:t xml:space="preserve">UE is switched to </w:t>
      </w:r>
      <w:r>
        <w:t>a new cell or PCI</w:t>
      </w:r>
      <w:r w:rsidRPr="00980258">
        <w:t xml:space="preserve">, UE </w:t>
      </w:r>
      <w:r>
        <w:t>can</w:t>
      </w:r>
      <w:r w:rsidRPr="00980258">
        <w:t xml:space="preserve"> directly apply the corresponding </w:t>
      </w:r>
      <w:r>
        <w:t xml:space="preserve">latest </w:t>
      </w:r>
      <w:r w:rsidRPr="00980258">
        <w:t xml:space="preserve">TA </w:t>
      </w:r>
      <w:r>
        <w:t xml:space="preserve">updated </w:t>
      </w:r>
      <w:r w:rsidRPr="00980258">
        <w:t>before the</w:t>
      </w:r>
      <w:r>
        <w:t xml:space="preserve"> </w:t>
      </w:r>
      <w:r w:rsidRPr="00980258">
        <w:t>switch</w:t>
      </w:r>
      <w:r>
        <w:t>ing.</w:t>
      </w:r>
    </w:p>
    <w:p w14:paraId="43799DE4" w14:textId="77777777" w:rsidR="00D82740" w:rsidRPr="00DA4FF4" w:rsidRDefault="00D82740" w:rsidP="00D82740">
      <w:pPr>
        <w:jc w:val="both"/>
        <w:rPr>
          <w:b/>
          <w:lang w:eastAsia="ja-JP"/>
        </w:rPr>
      </w:pPr>
      <w:r w:rsidRPr="002E629B">
        <w:rPr>
          <w:b/>
          <w:u w:val="single"/>
          <w:lang w:eastAsia="ja-JP"/>
        </w:rPr>
        <w:t xml:space="preserve">Proposal </w:t>
      </w:r>
      <w:r>
        <w:rPr>
          <w:b/>
          <w:u w:val="single"/>
          <w:lang w:eastAsia="ja-JP"/>
        </w:rPr>
        <w:t>11</w:t>
      </w:r>
      <w:r w:rsidRPr="002E629B">
        <w:rPr>
          <w:b/>
          <w:lang w:eastAsia="ja-JP"/>
        </w:rPr>
        <w:t xml:space="preserve">: </w:t>
      </w:r>
      <w:r>
        <w:rPr>
          <w:b/>
          <w:lang w:eastAsia="ja-JP"/>
        </w:rPr>
        <w:t>Support updating timing advance for non-serving cell or PCI.</w:t>
      </w:r>
    </w:p>
    <w:p w14:paraId="2BAAFF48" w14:textId="3D884F1B" w:rsidR="00D82740" w:rsidRDefault="00D82740" w:rsidP="00D82740">
      <w:pPr>
        <w:jc w:val="both"/>
      </w:pPr>
      <w:r>
        <w:t xml:space="preserve">For inter-cell mobility, one important aspect is the mobility of PCell, which provides basic cell functions including RACH, PUCCH, paging, system info, RLM, etc. UE’s mobility area will be significantly limited if the PCell cannot be moved around. In R16, PCell is changed in RRC level. To truly realize L1/L2 based inter-cell mobility, serving cells including PCell should be dynamically selected/deselected via L1/L2 signalling. A general example is illustrated in Figure </w:t>
      </w:r>
      <w:r w:rsidR="00BD5952">
        <w:t>3</w:t>
      </w:r>
      <w:r>
        <w:t xml:space="preserve">, where a set of cells, e.g. Cell 1-8, are pre-configured at UE for L1 measurement, based on which a subset of pre-configured cells, e.g. Cell 2-4, are dynamically activated by L1/L2 signalling to serve the UE, and one activated </w:t>
      </w:r>
      <w:r>
        <w:lastRenderedPageBreak/>
        <w:t xml:space="preserve">cell can function as the PCell. In this way, L1/L2 based inter-cell mobility can potentially offer a large area for UE mobility. </w:t>
      </w:r>
    </w:p>
    <w:p w14:paraId="5A10439F" w14:textId="77777777" w:rsidR="00D82740" w:rsidRPr="00173160" w:rsidRDefault="00D82740" w:rsidP="00D82740">
      <w:pPr>
        <w:jc w:val="both"/>
        <w:rPr>
          <w:b/>
          <w:lang w:eastAsia="ja-JP"/>
        </w:rPr>
      </w:pPr>
      <w:r w:rsidRPr="002E629B">
        <w:rPr>
          <w:b/>
          <w:u w:val="single"/>
          <w:lang w:eastAsia="ja-JP"/>
        </w:rPr>
        <w:t xml:space="preserve">Proposal </w:t>
      </w:r>
      <w:r>
        <w:rPr>
          <w:b/>
          <w:u w:val="single"/>
          <w:lang w:eastAsia="ja-JP"/>
        </w:rPr>
        <w:t>12</w:t>
      </w:r>
      <w:r w:rsidRPr="002E629B">
        <w:rPr>
          <w:b/>
          <w:lang w:eastAsia="ja-JP"/>
        </w:rPr>
        <w:t xml:space="preserve">: </w:t>
      </w:r>
      <w:r>
        <w:rPr>
          <w:b/>
          <w:lang w:eastAsia="ja-JP"/>
        </w:rPr>
        <w:t>Support L1/L2 based selection of serving cell(s), including PCell.</w:t>
      </w:r>
    </w:p>
    <w:p w14:paraId="3CFF1C21" w14:textId="77777777" w:rsidR="00D82740" w:rsidRDefault="00D82740" w:rsidP="00D82740">
      <w:pPr>
        <w:jc w:val="both"/>
        <w:rPr>
          <w:b/>
          <w:lang w:eastAsia="ja-JP"/>
        </w:rPr>
      </w:pPr>
      <w:r w:rsidRPr="002E629B">
        <w:rPr>
          <w:b/>
          <w:u w:val="single"/>
          <w:lang w:eastAsia="ja-JP"/>
        </w:rPr>
        <w:t xml:space="preserve">Proposal </w:t>
      </w:r>
      <w:r>
        <w:rPr>
          <w:b/>
          <w:u w:val="single"/>
          <w:lang w:eastAsia="ja-JP"/>
        </w:rPr>
        <w:t>13</w:t>
      </w:r>
      <w:r w:rsidRPr="002E629B">
        <w:rPr>
          <w:b/>
          <w:lang w:eastAsia="ja-JP"/>
        </w:rPr>
        <w:t xml:space="preserve">: </w:t>
      </w:r>
      <w:r>
        <w:rPr>
          <w:b/>
          <w:lang w:eastAsia="ja-JP"/>
        </w:rPr>
        <w:t xml:space="preserve">A set of </w:t>
      </w:r>
      <w:proofErr w:type="gramStart"/>
      <w:r>
        <w:rPr>
          <w:b/>
          <w:lang w:eastAsia="ja-JP"/>
        </w:rPr>
        <w:t>candidate</w:t>
      </w:r>
      <w:proofErr w:type="gramEnd"/>
      <w:r>
        <w:rPr>
          <w:b/>
          <w:lang w:eastAsia="ja-JP"/>
        </w:rPr>
        <w:t xml:space="preserve"> serving cells can be pre-configured for L1 measurement, based on which a subset of pre-configured cells can be dynamically activated by L1/L2.</w:t>
      </w:r>
    </w:p>
    <w:p w14:paraId="78FD7354" w14:textId="77777777" w:rsidR="00D82740" w:rsidRPr="00ED0C7A" w:rsidRDefault="00D82740" w:rsidP="00ED0C7A">
      <w:pPr>
        <w:jc w:val="both"/>
        <w:rPr>
          <w:b/>
          <w:lang w:eastAsia="ja-JP"/>
        </w:rPr>
      </w:pPr>
    </w:p>
    <w:bookmarkEnd w:id="7"/>
    <w:p w14:paraId="16BC2EAB" w14:textId="77777777" w:rsidR="00ED0C7A" w:rsidRDefault="00ED0C7A" w:rsidP="00ED0C7A">
      <w:pPr>
        <w:jc w:val="center"/>
        <w:rPr>
          <w:lang w:val="en-US"/>
        </w:rPr>
      </w:pPr>
      <w:r w:rsidRPr="00E03BC0">
        <w:rPr>
          <w:lang w:val="en-US"/>
        </w:rPr>
        <w:object w:dxaOrig="5716" w:dyaOrig="3466" w14:anchorId="70180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5pt;height:151pt" o:ole="">
            <v:imagedata r:id="rId14" o:title=""/>
          </v:shape>
          <o:OLEObject Type="Embed" ProgID="Visio.Drawing.11" ShapeID="_x0000_i1025" DrawAspect="Content" ObjectID="_1664991545" r:id="rId15"/>
        </w:object>
      </w:r>
    </w:p>
    <w:p w14:paraId="65B25C20" w14:textId="14725912" w:rsidR="00ED0C7A" w:rsidRPr="00ED0C7A" w:rsidRDefault="00ED0C7A" w:rsidP="00ED0C7A">
      <w:pPr>
        <w:spacing w:after="200"/>
        <w:jc w:val="center"/>
        <w:rPr>
          <w:b/>
          <w:iCs/>
          <w:szCs w:val="22"/>
        </w:rPr>
      </w:pPr>
      <w:r w:rsidRPr="00723189">
        <w:rPr>
          <w:b/>
          <w:iCs/>
          <w:szCs w:val="22"/>
        </w:rPr>
        <w:t>Figure</w:t>
      </w:r>
      <w:r>
        <w:rPr>
          <w:b/>
          <w:iCs/>
          <w:szCs w:val="22"/>
        </w:rPr>
        <w:t xml:space="preserve"> </w:t>
      </w:r>
      <w:r w:rsidR="00D22641">
        <w:rPr>
          <w:b/>
          <w:iCs/>
          <w:szCs w:val="22"/>
        </w:rPr>
        <w:t>2</w:t>
      </w:r>
      <w:r w:rsidRPr="00723189">
        <w:rPr>
          <w:b/>
          <w:iCs/>
          <w:szCs w:val="22"/>
        </w:rPr>
        <w:t xml:space="preserve">: </w:t>
      </w:r>
      <w:r>
        <w:rPr>
          <w:b/>
          <w:iCs/>
          <w:szCs w:val="22"/>
        </w:rPr>
        <w:t>TCI State with QCL Source as SSB from Non-Serving PCI</w:t>
      </w:r>
    </w:p>
    <w:p w14:paraId="098D5BA9" w14:textId="77777777" w:rsidR="0031522B" w:rsidRDefault="0031522B" w:rsidP="005B1766">
      <w:pPr>
        <w:jc w:val="both"/>
        <w:rPr>
          <w:lang w:val="en-US"/>
        </w:rPr>
      </w:pPr>
    </w:p>
    <w:p w14:paraId="3E2EF060" w14:textId="77777777" w:rsidR="0031522B" w:rsidRPr="00023693" w:rsidRDefault="0031522B" w:rsidP="0031522B">
      <w:pPr>
        <w:jc w:val="center"/>
      </w:pPr>
      <w:r w:rsidRPr="00E03BC0">
        <w:rPr>
          <w:lang w:val="en-US"/>
        </w:rPr>
        <w:object w:dxaOrig="7999" w:dyaOrig="4242" w14:anchorId="35DB6E9B">
          <v:shape id="_x0000_i1026" type="#_x0000_t75" style="width:349pt;height:184.65pt" o:ole="">
            <v:imagedata r:id="rId16" o:title=""/>
          </v:shape>
          <o:OLEObject Type="Embed" ProgID="Visio.Drawing.11" ShapeID="_x0000_i1026" DrawAspect="Content" ObjectID="_1664991546" r:id="rId17"/>
        </w:object>
      </w:r>
    </w:p>
    <w:p w14:paraId="29C868F8" w14:textId="274D75C1" w:rsidR="0031522B" w:rsidRPr="000F0D77" w:rsidRDefault="0031522B" w:rsidP="0031522B">
      <w:pPr>
        <w:spacing w:after="200"/>
        <w:jc w:val="center"/>
        <w:rPr>
          <w:b/>
          <w:iCs/>
          <w:szCs w:val="22"/>
        </w:rPr>
      </w:pPr>
      <w:r w:rsidRPr="00723189">
        <w:rPr>
          <w:b/>
          <w:iCs/>
          <w:szCs w:val="22"/>
        </w:rPr>
        <w:t>Figure</w:t>
      </w:r>
      <w:r>
        <w:rPr>
          <w:b/>
          <w:iCs/>
          <w:szCs w:val="22"/>
        </w:rPr>
        <w:t xml:space="preserve"> </w:t>
      </w:r>
      <w:r w:rsidR="00D22641">
        <w:rPr>
          <w:b/>
          <w:iCs/>
          <w:szCs w:val="22"/>
        </w:rPr>
        <w:t>3</w:t>
      </w:r>
      <w:r w:rsidRPr="00723189">
        <w:rPr>
          <w:b/>
          <w:iCs/>
          <w:szCs w:val="22"/>
        </w:rPr>
        <w:t xml:space="preserve">: </w:t>
      </w:r>
      <w:r>
        <w:rPr>
          <w:b/>
          <w:iCs/>
          <w:szCs w:val="22"/>
        </w:rPr>
        <w:t>L1/L2 Based Active Cell Set Selection from Configured Cell Set</w:t>
      </w:r>
    </w:p>
    <w:p w14:paraId="28A1CFAF" w14:textId="57969755" w:rsidR="004878E8" w:rsidRDefault="004878E8" w:rsidP="004878E8">
      <w:pPr>
        <w:jc w:val="both"/>
      </w:pPr>
      <w:r>
        <w:t xml:space="preserve">For L1/L2 based inter-cell mobility performance, evaluation was conducted based on the agreed assumptions in [1]. The HO starts when the target cell has 3 dB better L1-RSRP </w:t>
      </w:r>
      <w:r w:rsidRPr="008C4EE2">
        <w:t>for 10 consecutive measurements</w:t>
      </w:r>
      <w:r>
        <w:t xml:space="preserve"> than the source cell. The HO latency is modelled as 2 slots for L1 based mobility to account for the DCI based beam switch, and is modelled as a random number in </w:t>
      </w:r>
      <w:proofErr w:type="gramStart"/>
      <w:r>
        <w:t>U[</w:t>
      </w:r>
      <w:proofErr w:type="gramEnd"/>
      <w:r>
        <w:t xml:space="preserve">1, 1.5]sec followed by an 80 ms blackout duration for L3 based mobility. In Figure </w:t>
      </w:r>
      <w:r w:rsidR="00BD5952">
        <w:t>4</w:t>
      </w:r>
      <w:r>
        <w:t xml:space="preserve">, as expected, the L3 based cell switch is always behind the L1 based cell switch in case of 11 horizontally placed SSBs, and the latency increases for higher UE speed. </w:t>
      </w:r>
    </w:p>
    <w:p w14:paraId="62A922AC" w14:textId="1158D230" w:rsidR="004878E8" w:rsidRDefault="004878E8" w:rsidP="004878E8">
      <w:pPr>
        <w:jc w:val="both"/>
      </w:pPr>
      <w:r>
        <w:t xml:space="preserve">To investigate the impact of the cell switch latency on system performance, the serving sector’s RSRP trace is plotted in Figure </w:t>
      </w:r>
      <w:r w:rsidR="00BD5952">
        <w:t>5</w:t>
      </w:r>
      <w:r>
        <w:t xml:space="preserve"> for both L1 and L3 based mobility in case of 11 SSBs per sector, based on which the CDF of RSRP difference between L1 and L3 mobility is also plotted for different UE speeds. </w:t>
      </w:r>
      <w:proofErr w:type="gramStart"/>
      <w:r>
        <w:t>It can be seen that the</w:t>
      </w:r>
      <w:proofErr w:type="gramEnd"/>
      <w:r>
        <w:t xml:space="preserve"> median RSRP difference is 18 and 20 dB for UE speed of 60 and 120 kmph, respectively. Similar results can be observed in Figure </w:t>
      </w:r>
      <w:r w:rsidR="00BD5952">
        <w:lastRenderedPageBreak/>
        <w:t>6</w:t>
      </w:r>
      <w:r>
        <w:t xml:space="preserve"> for 22 SSBs per sector with 2 rows of 11 SSBs placed vertically. The large RSRP gap implies a significant impact on throughput and latency.</w:t>
      </w:r>
    </w:p>
    <w:p w14:paraId="0DA3FFDF" w14:textId="77777777" w:rsidR="004878E8" w:rsidRPr="00173160" w:rsidRDefault="004878E8" w:rsidP="004878E8">
      <w:pPr>
        <w:jc w:val="both"/>
        <w:rPr>
          <w:b/>
          <w:lang w:eastAsia="ja-JP"/>
        </w:rPr>
      </w:pPr>
      <w:r>
        <w:rPr>
          <w:b/>
          <w:u w:val="single"/>
          <w:lang w:eastAsia="ja-JP"/>
        </w:rPr>
        <w:t>Observation 1</w:t>
      </w:r>
      <w:r>
        <w:rPr>
          <w:b/>
          <w:lang w:eastAsia="ja-JP"/>
        </w:rPr>
        <w:t>:</w:t>
      </w:r>
      <w:r w:rsidRPr="00A25322">
        <w:rPr>
          <w:b/>
          <w:lang w:eastAsia="ja-JP"/>
        </w:rPr>
        <w:t xml:space="preserve"> It can be observed that the median RSRP difference between L1 and L3 based mobility is 18 and 20 dB for UE speed of 60 and 120 kmph, respectively</w:t>
      </w:r>
      <w:r>
        <w:rPr>
          <w:b/>
          <w:lang w:eastAsia="ja-JP"/>
        </w:rPr>
        <w:t>.</w:t>
      </w:r>
    </w:p>
    <w:p w14:paraId="6B95C322" w14:textId="77777777" w:rsidR="00E27258" w:rsidRDefault="00E27258" w:rsidP="00ED0C7A">
      <w:pPr>
        <w:jc w:val="both"/>
        <w:rPr>
          <w:b/>
          <w:lang w:eastAsia="ja-JP"/>
        </w:rPr>
      </w:pPr>
    </w:p>
    <w:p w14:paraId="7D129363" w14:textId="7F35B3FE" w:rsidR="00E27258" w:rsidRDefault="00E27258" w:rsidP="00E27258">
      <w:pPr>
        <w:jc w:val="center"/>
        <w:rPr>
          <w:lang w:eastAsia="ja-JP"/>
        </w:rPr>
      </w:pPr>
      <w:r>
        <w:object w:dxaOrig="9630" w:dyaOrig="10485" w14:anchorId="21D4D596">
          <v:shape id="_x0000_i1027" type="#_x0000_t75" style="width:164.65pt;height:178.35pt" o:ole="">
            <v:imagedata r:id="rId18" o:title=""/>
          </v:shape>
          <o:OLEObject Type="Embed" ProgID="Visio.Drawing.15" ShapeID="_x0000_i1027" DrawAspect="Content" ObjectID="_1664991547" r:id="rId19"/>
        </w:object>
      </w:r>
      <w:r w:rsidR="004731AE" w:rsidRPr="004731AE">
        <w:t xml:space="preserve"> </w:t>
      </w:r>
      <w:r w:rsidR="004731AE">
        <w:rPr>
          <w:noProof/>
        </w:rPr>
        <w:drawing>
          <wp:inline distT="0" distB="0" distL="0" distR="0" wp14:anchorId="00E1F969" wp14:editId="1F38FB0E">
            <wp:extent cx="3349540" cy="2511457"/>
            <wp:effectExtent l="0" t="0" r="381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3373" cy="2529327"/>
                    </a:xfrm>
                    <a:prstGeom prst="rect">
                      <a:avLst/>
                    </a:prstGeom>
                    <a:noFill/>
                    <a:ln>
                      <a:noFill/>
                    </a:ln>
                  </pic:spPr>
                </pic:pic>
              </a:graphicData>
            </a:graphic>
          </wp:inline>
        </w:drawing>
      </w:r>
    </w:p>
    <w:p w14:paraId="4CAD2A23" w14:textId="0263751A" w:rsidR="00E27258" w:rsidRPr="000F0D77" w:rsidRDefault="00E27258" w:rsidP="00E27258">
      <w:pPr>
        <w:spacing w:after="200"/>
        <w:jc w:val="center"/>
        <w:rPr>
          <w:b/>
          <w:iCs/>
          <w:szCs w:val="22"/>
        </w:rPr>
      </w:pPr>
      <w:r w:rsidRPr="00723189">
        <w:rPr>
          <w:b/>
          <w:iCs/>
          <w:szCs w:val="22"/>
        </w:rPr>
        <w:t>Figure</w:t>
      </w:r>
      <w:r>
        <w:rPr>
          <w:b/>
          <w:iCs/>
          <w:szCs w:val="22"/>
        </w:rPr>
        <w:t xml:space="preserve"> </w:t>
      </w:r>
      <w:r w:rsidR="00D22641">
        <w:rPr>
          <w:b/>
          <w:iCs/>
          <w:szCs w:val="22"/>
        </w:rPr>
        <w:t>4</w:t>
      </w:r>
      <w:r w:rsidRPr="00723189">
        <w:rPr>
          <w:b/>
          <w:iCs/>
          <w:szCs w:val="22"/>
        </w:rPr>
        <w:t xml:space="preserve">: </w:t>
      </w:r>
      <w:r>
        <w:rPr>
          <w:b/>
          <w:iCs/>
          <w:szCs w:val="22"/>
        </w:rPr>
        <w:t>Serving Sector Switching Time Trace for L1 &amp; L3 Mobility (11 SSBs per Sector)</w:t>
      </w:r>
    </w:p>
    <w:p w14:paraId="1DE5725D" w14:textId="77777777" w:rsidR="00E27258" w:rsidRDefault="00E27258" w:rsidP="00E27258">
      <w:pPr>
        <w:jc w:val="both"/>
      </w:pPr>
    </w:p>
    <w:p w14:paraId="6465E75E" w14:textId="637A7C48" w:rsidR="001752BE" w:rsidRDefault="00420179" w:rsidP="008D5AE7">
      <w:pPr>
        <w:jc w:val="center"/>
        <w:rPr>
          <w:lang w:eastAsia="ja-JP"/>
        </w:rPr>
      </w:pPr>
      <w:bookmarkStart w:id="8" w:name="_Hlk54266194"/>
      <w:r>
        <w:rPr>
          <w:noProof/>
        </w:rPr>
        <w:drawing>
          <wp:inline distT="0" distB="0" distL="0" distR="0" wp14:anchorId="3A91F1C0" wp14:editId="748E551F">
            <wp:extent cx="2952762" cy="2214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8574" cy="2226430"/>
                    </a:xfrm>
                    <a:prstGeom prst="rect">
                      <a:avLst/>
                    </a:prstGeom>
                    <a:noFill/>
                    <a:ln>
                      <a:noFill/>
                    </a:ln>
                  </pic:spPr>
                </pic:pic>
              </a:graphicData>
            </a:graphic>
          </wp:inline>
        </w:drawing>
      </w:r>
      <w:r w:rsidR="00D106DA" w:rsidRPr="00D106DA">
        <w:t xml:space="preserve"> </w:t>
      </w:r>
      <w:r w:rsidR="00D106DA">
        <w:rPr>
          <w:noProof/>
        </w:rPr>
        <w:drawing>
          <wp:inline distT="0" distB="0" distL="0" distR="0" wp14:anchorId="0AC28080" wp14:editId="21CBC238">
            <wp:extent cx="2956182" cy="2216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2162" cy="2243500"/>
                    </a:xfrm>
                    <a:prstGeom prst="rect">
                      <a:avLst/>
                    </a:prstGeom>
                    <a:noFill/>
                    <a:ln>
                      <a:noFill/>
                    </a:ln>
                  </pic:spPr>
                </pic:pic>
              </a:graphicData>
            </a:graphic>
          </wp:inline>
        </w:drawing>
      </w:r>
    </w:p>
    <w:p w14:paraId="30137E1F" w14:textId="7F08A6DD" w:rsidR="003537B6" w:rsidRPr="000F0D77" w:rsidRDefault="003537B6" w:rsidP="003537B6">
      <w:pPr>
        <w:spacing w:after="200"/>
        <w:jc w:val="center"/>
        <w:rPr>
          <w:b/>
          <w:iCs/>
          <w:szCs w:val="22"/>
        </w:rPr>
      </w:pPr>
      <w:r w:rsidRPr="00723189">
        <w:rPr>
          <w:b/>
          <w:iCs/>
          <w:szCs w:val="22"/>
        </w:rPr>
        <w:t>Figure</w:t>
      </w:r>
      <w:r>
        <w:rPr>
          <w:b/>
          <w:iCs/>
          <w:szCs w:val="22"/>
        </w:rPr>
        <w:t xml:space="preserve"> </w:t>
      </w:r>
      <w:r w:rsidR="00D22641">
        <w:rPr>
          <w:b/>
          <w:iCs/>
          <w:szCs w:val="22"/>
        </w:rPr>
        <w:t>5</w:t>
      </w:r>
      <w:r w:rsidRPr="00723189">
        <w:rPr>
          <w:b/>
          <w:iCs/>
          <w:szCs w:val="22"/>
        </w:rPr>
        <w:t xml:space="preserve">: </w:t>
      </w:r>
      <w:r w:rsidR="008601A0">
        <w:rPr>
          <w:b/>
          <w:iCs/>
          <w:szCs w:val="22"/>
        </w:rPr>
        <w:t xml:space="preserve">Serving </w:t>
      </w:r>
      <w:r w:rsidR="001A4792">
        <w:rPr>
          <w:b/>
          <w:iCs/>
          <w:szCs w:val="22"/>
        </w:rPr>
        <w:t>S</w:t>
      </w:r>
      <w:r w:rsidR="008601A0">
        <w:rPr>
          <w:b/>
          <w:iCs/>
          <w:szCs w:val="22"/>
        </w:rPr>
        <w:t xml:space="preserve">ector RSRP </w:t>
      </w:r>
      <w:r w:rsidR="001A4792">
        <w:rPr>
          <w:b/>
          <w:iCs/>
          <w:szCs w:val="22"/>
        </w:rPr>
        <w:t>T</w:t>
      </w:r>
      <w:r w:rsidR="008601A0">
        <w:rPr>
          <w:b/>
          <w:iCs/>
          <w:szCs w:val="22"/>
        </w:rPr>
        <w:t xml:space="preserve">race and RSRP </w:t>
      </w:r>
      <w:r w:rsidR="001A4792">
        <w:rPr>
          <w:b/>
          <w:iCs/>
          <w:szCs w:val="22"/>
        </w:rPr>
        <w:t>D</w:t>
      </w:r>
      <w:r w:rsidR="008601A0">
        <w:rPr>
          <w:b/>
          <w:iCs/>
          <w:szCs w:val="22"/>
        </w:rPr>
        <w:t>ifference CDF for L1</w:t>
      </w:r>
      <w:r w:rsidR="00D915EF">
        <w:rPr>
          <w:b/>
          <w:iCs/>
          <w:szCs w:val="22"/>
        </w:rPr>
        <w:t xml:space="preserve"> &amp; </w:t>
      </w:r>
      <w:r w:rsidR="008601A0">
        <w:rPr>
          <w:b/>
          <w:iCs/>
          <w:szCs w:val="22"/>
        </w:rPr>
        <w:t xml:space="preserve">L3 </w:t>
      </w:r>
      <w:r w:rsidR="001A4792">
        <w:rPr>
          <w:b/>
          <w:iCs/>
          <w:szCs w:val="22"/>
        </w:rPr>
        <w:t>M</w:t>
      </w:r>
      <w:r w:rsidR="008601A0">
        <w:rPr>
          <w:b/>
          <w:iCs/>
          <w:szCs w:val="22"/>
        </w:rPr>
        <w:t>obility</w:t>
      </w:r>
      <w:r w:rsidR="00D915EF">
        <w:rPr>
          <w:b/>
          <w:iCs/>
          <w:szCs w:val="22"/>
        </w:rPr>
        <w:t xml:space="preserve"> </w:t>
      </w:r>
      <w:r w:rsidR="00C86429">
        <w:rPr>
          <w:b/>
          <w:iCs/>
          <w:szCs w:val="22"/>
        </w:rPr>
        <w:t>(</w:t>
      </w:r>
      <w:r w:rsidR="00D915EF">
        <w:rPr>
          <w:b/>
          <w:iCs/>
          <w:szCs w:val="22"/>
        </w:rPr>
        <w:t xml:space="preserve">11 SSBs per </w:t>
      </w:r>
      <w:r w:rsidR="001A4792">
        <w:rPr>
          <w:b/>
          <w:iCs/>
          <w:szCs w:val="22"/>
        </w:rPr>
        <w:t>S</w:t>
      </w:r>
      <w:r w:rsidR="00D915EF">
        <w:rPr>
          <w:b/>
          <w:iCs/>
          <w:szCs w:val="22"/>
        </w:rPr>
        <w:t>ector</w:t>
      </w:r>
      <w:r w:rsidR="00C86429">
        <w:rPr>
          <w:b/>
          <w:iCs/>
          <w:szCs w:val="22"/>
        </w:rPr>
        <w:t>)</w:t>
      </w:r>
    </w:p>
    <w:p w14:paraId="316B895F" w14:textId="77777777" w:rsidR="006D78E6" w:rsidRDefault="006D78E6" w:rsidP="006D78E6">
      <w:pPr>
        <w:rPr>
          <w:lang w:eastAsia="ja-JP"/>
        </w:rPr>
      </w:pPr>
    </w:p>
    <w:p w14:paraId="0581D37D" w14:textId="17EC6F7B" w:rsidR="006D78E6" w:rsidRDefault="00751B3F" w:rsidP="008D5AE7">
      <w:pPr>
        <w:jc w:val="center"/>
        <w:rPr>
          <w:lang w:eastAsia="ja-JP"/>
        </w:rPr>
      </w:pPr>
      <w:r>
        <w:rPr>
          <w:noProof/>
        </w:rPr>
        <w:lastRenderedPageBreak/>
        <w:drawing>
          <wp:inline distT="0" distB="0" distL="0" distR="0" wp14:anchorId="4047ED8F" wp14:editId="77BC6164">
            <wp:extent cx="2924124" cy="21924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3438" cy="2199467"/>
                    </a:xfrm>
                    <a:prstGeom prst="rect">
                      <a:avLst/>
                    </a:prstGeom>
                    <a:noFill/>
                    <a:ln>
                      <a:noFill/>
                    </a:ln>
                  </pic:spPr>
                </pic:pic>
              </a:graphicData>
            </a:graphic>
          </wp:inline>
        </w:drawing>
      </w:r>
      <w:r w:rsidR="008C5A79" w:rsidRPr="008C5A79">
        <w:t xml:space="preserve"> </w:t>
      </w:r>
      <w:r w:rsidR="008C5A79">
        <w:rPr>
          <w:noProof/>
        </w:rPr>
        <w:drawing>
          <wp:inline distT="0" distB="0" distL="0" distR="0" wp14:anchorId="62B58A6F" wp14:editId="132E0497">
            <wp:extent cx="2953463" cy="221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2680" cy="2236389"/>
                    </a:xfrm>
                    <a:prstGeom prst="rect">
                      <a:avLst/>
                    </a:prstGeom>
                    <a:noFill/>
                    <a:ln>
                      <a:noFill/>
                    </a:ln>
                  </pic:spPr>
                </pic:pic>
              </a:graphicData>
            </a:graphic>
          </wp:inline>
        </w:drawing>
      </w:r>
    </w:p>
    <w:p w14:paraId="609B0AF2" w14:textId="4B8AA1BA" w:rsidR="006D78E6" w:rsidRPr="000F0D77" w:rsidRDefault="006D78E6" w:rsidP="006D78E6">
      <w:pPr>
        <w:spacing w:after="200"/>
        <w:jc w:val="center"/>
        <w:rPr>
          <w:b/>
          <w:iCs/>
          <w:szCs w:val="22"/>
        </w:rPr>
      </w:pPr>
      <w:r w:rsidRPr="00723189">
        <w:rPr>
          <w:b/>
          <w:iCs/>
          <w:szCs w:val="22"/>
        </w:rPr>
        <w:t>Figure</w:t>
      </w:r>
      <w:r>
        <w:rPr>
          <w:b/>
          <w:iCs/>
          <w:szCs w:val="22"/>
        </w:rPr>
        <w:t xml:space="preserve"> </w:t>
      </w:r>
      <w:r w:rsidR="00D22641">
        <w:rPr>
          <w:b/>
          <w:iCs/>
          <w:szCs w:val="22"/>
        </w:rPr>
        <w:t>6</w:t>
      </w:r>
      <w:r w:rsidRPr="00723189">
        <w:rPr>
          <w:b/>
          <w:iCs/>
          <w:szCs w:val="22"/>
        </w:rPr>
        <w:t xml:space="preserve">: </w:t>
      </w:r>
      <w:r>
        <w:rPr>
          <w:b/>
          <w:iCs/>
          <w:szCs w:val="22"/>
        </w:rPr>
        <w:t xml:space="preserve">Serving </w:t>
      </w:r>
      <w:r w:rsidR="001A4792">
        <w:rPr>
          <w:b/>
          <w:iCs/>
          <w:szCs w:val="22"/>
        </w:rPr>
        <w:t>S</w:t>
      </w:r>
      <w:r>
        <w:rPr>
          <w:b/>
          <w:iCs/>
          <w:szCs w:val="22"/>
        </w:rPr>
        <w:t xml:space="preserve">ector RSRP </w:t>
      </w:r>
      <w:r w:rsidR="001A4792">
        <w:rPr>
          <w:b/>
          <w:iCs/>
          <w:szCs w:val="22"/>
        </w:rPr>
        <w:t>T</w:t>
      </w:r>
      <w:r>
        <w:rPr>
          <w:b/>
          <w:iCs/>
          <w:szCs w:val="22"/>
        </w:rPr>
        <w:t xml:space="preserve">race and RSRP </w:t>
      </w:r>
      <w:r w:rsidR="001A4792">
        <w:rPr>
          <w:b/>
          <w:iCs/>
          <w:szCs w:val="22"/>
        </w:rPr>
        <w:t>D</w:t>
      </w:r>
      <w:r>
        <w:rPr>
          <w:b/>
          <w:iCs/>
          <w:szCs w:val="22"/>
        </w:rPr>
        <w:t xml:space="preserve">ifference CDF for L1 &amp; L3 </w:t>
      </w:r>
      <w:r w:rsidR="001A4792">
        <w:rPr>
          <w:b/>
          <w:iCs/>
          <w:szCs w:val="22"/>
        </w:rPr>
        <w:t>M</w:t>
      </w:r>
      <w:r>
        <w:rPr>
          <w:b/>
          <w:iCs/>
          <w:szCs w:val="22"/>
        </w:rPr>
        <w:t xml:space="preserve">obility </w:t>
      </w:r>
      <w:r w:rsidR="00C86429">
        <w:rPr>
          <w:b/>
          <w:iCs/>
          <w:szCs w:val="22"/>
        </w:rPr>
        <w:t>(</w:t>
      </w:r>
      <w:r>
        <w:rPr>
          <w:b/>
          <w:iCs/>
          <w:szCs w:val="22"/>
        </w:rPr>
        <w:t xml:space="preserve">22 SSBs per </w:t>
      </w:r>
      <w:r w:rsidR="001A4792">
        <w:rPr>
          <w:b/>
          <w:iCs/>
          <w:szCs w:val="22"/>
        </w:rPr>
        <w:t>S</w:t>
      </w:r>
      <w:r>
        <w:rPr>
          <w:b/>
          <w:iCs/>
          <w:szCs w:val="22"/>
        </w:rPr>
        <w:t>ector</w:t>
      </w:r>
      <w:r w:rsidR="00C86429">
        <w:rPr>
          <w:b/>
          <w:iCs/>
          <w:szCs w:val="22"/>
        </w:rPr>
        <w:t>)</w:t>
      </w:r>
    </w:p>
    <w:bookmarkEnd w:id="8"/>
    <w:p w14:paraId="1AF5E83A" w14:textId="77777777" w:rsidR="003755AA" w:rsidRPr="002E48BA" w:rsidRDefault="003755AA" w:rsidP="003755AA">
      <w:pPr>
        <w:rPr>
          <w:lang w:eastAsia="ja-JP"/>
        </w:rPr>
      </w:pPr>
    </w:p>
    <w:p w14:paraId="66DAAD25" w14:textId="43F2A34E" w:rsidR="003755AA" w:rsidRDefault="003755AA" w:rsidP="003755AA">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Issue 3 – Dynamic TCI Update Signalling</w:t>
      </w:r>
    </w:p>
    <w:p w14:paraId="6B747F16" w14:textId="7D821630" w:rsidR="00F80158" w:rsidRDefault="004F6569" w:rsidP="00F80158">
      <w:pPr>
        <w:jc w:val="both"/>
      </w:pPr>
      <w:r w:rsidRPr="004F6569">
        <w:t xml:space="preserve">As for </w:t>
      </w:r>
      <w:r>
        <w:t xml:space="preserve">TCI update signalling, a natural extension is to apply the DCI based PDSCH beam update to PDCCH, which is currently performed via MAC-CE with a latency of 3 ms. Therefore, </w:t>
      </w:r>
      <w:r w:rsidR="00A52638">
        <w:t xml:space="preserve">the </w:t>
      </w:r>
      <w:r>
        <w:t xml:space="preserve">unified TCI framework </w:t>
      </w:r>
      <w:r w:rsidR="00A52638">
        <w:t>can</w:t>
      </w:r>
      <w:r>
        <w:t xml:space="preserve"> </w:t>
      </w:r>
      <w:r w:rsidR="00A52638">
        <w:t xml:space="preserve">also </w:t>
      </w:r>
      <w:r>
        <w:t>ha</w:t>
      </w:r>
      <w:r w:rsidR="00A52638">
        <w:t>ve</w:t>
      </w:r>
      <w:r>
        <w:t xml:space="preserve"> a unified beam update signalling to eliminate the limiting factor of CORESET beam switch. </w:t>
      </w:r>
    </w:p>
    <w:p w14:paraId="6F3C586A" w14:textId="77777777" w:rsidR="00F80158" w:rsidRDefault="00F80158" w:rsidP="00F80158">
      <w:pPr>
        <w:jc w:val="both"/>
      </w:pPr>
      <w:r>
        <w:rPr>
          <w:noProof/>
        </w:rPr>
        <w:drawing>
          <wp:inline distT="0" distB="0" distL="0" distR="0" wp14:anchorId="4712E651" wp14:editId="3B1A83C6">
            <wp:extent cx="5943600" cy="2711450"/>
            <wp:effectExtent l="0" t="0" r="0" b="0"/>
            <wp:docPr id="14" name="Picture 6">
              <a:extLst xmlns:a="http://schemas.openxmlformats.org/drawingml/2006/main">
                <a:ext uri="{FF2B5EF4-FFF2-40B4-BE49-F238E27FC236}">
                  <a16:creationId xmlns:a16="http://schemas.microsoft.com/office/drawing/2014/main" id="{FD26794C-AD80-4041-8A62-6F6F4C95AB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D26794C-AD80-4041-8A62-6F6F4C95ABB9}"/>
                        </a:ext>
                      </a:extLst>
                    </pic:cNvPr>
                    <pic:cNvPicPr>
                      <a:picLocks noChangeAspect="1"/>
                    </pic:cNvPicPr>
                  </pic:nvPicPr>
                  <pic:blipFill>
                    <a:blip r:embed="rId25"/>
                    <a:stretch>
                      <a:fillRect/>
                    </a:stretch>
                  </pic:blipFill>
                  <pic:spPr>
                    <a:xfrm>
                      <a:off x="0" y="0"/>
                      <a:ext cx="5943600" cy="2711450"/>
                    </a:xfrm>
                    <a:prstGeom prst="rect">
                      <a:avLst/>
                    </a:prstGeom>
                  </pic:spPr>
                </pic:pic>
              </a:graphicData>
            </a:graphic>
          </wp:inline>
        </w:drawing>
      </w:r>
    </w:p>
    <w:p w14:paraId="4BC23F1A" w14:textId="78DD5485" w:rsidR="00F80158" w:rsidRPr="00F80158" w:rsidRDefault="00F80158" w:rsidP="00F80158">
      <w:pPr>
        <w:spacing w:after="200"/>
        <w:jc w:val="center"/>
        <w:rPr>
          <w:b/>
          <w:iCs/>
          <w:szCs w:val="22"/>
        </w:rPr>
      </w:pPr>
      <w:r w:rsidRPr="00723189">
        <w:rPr>
          <w:b/>
          <w:iCs/>
          <w:szCs w:val="22"/>
        </w:rPr>
        <w:t>Figure</w:t>
      </w:r>
      <w:r>
        <w:rPr>
          <w:b/>
          <w:iCs/>
          <w:szCs w:val="22"/>
        </w:rPr>
        <w:t xml:space="preserve"> 7</w:t>
      </w:r>
      <w:r w:rsidRPr="00723189">
        <w:rPr>
          <w:b/>
          <w:iCs/>
          <w:szCs w:val="22"/>
        </w:rPr>
        <w:t xml:space="preserve">: </w:t>
      </w:r>
      <w:r>
        <w:rPr>
          <w:b/>
          <w:iCs/>
          <w:szCs w:val="22"/>
        </w:rPr>
        <w:t>Beam Dwelling Time for HST Scenario</w:t>
      </w:r>
    </w:p>
    <w:p w14:paraId="787C93A3" w14:textId="47593853" w:rsidR="003755AA" w:rsidRDefault="003755AA" w:rsidP="003755AA">
      <w:pPr>
        <w:jc w:val="both"/>
      </w:pPr>
      <w:r>
        <w:t xml:space="preserve">To illustrate the impact of 3ms beam switch latency, we consider the high-speed train scenario and plot the corresponding beam dwelling time in Figure </w:t>
      </w:r>
      <w:r w:rsidR="00EA2BE2">
        <w:t>7</w:t>
      </w:r>
      <w:r>
        <w:t>. The beam dwelling time represents the time that UE will stay in the gNB’s beam width. Its value depends on gNB’s beam width, distance between RRH and the centre of the two tracks, and train speed. For 10</w:t>
      </w:r>
      <w:r>
        <w:sym w:font="Symbol" w:char="F0B0"/>
      </w:r>
      <w:r>
        <w:t xml:space="preserve"> gNB’s beam width, 10m distance, and 250km/h speed, </w:t>
      </w:r>
      <w:proofErr w:type="gramStart"/>
      <w:r>
        <w:t>similar to</w:t>
      </w:r>
      <w:proofErr w:type="gramEnd"/>
      <w:r>
        <w:t xml:space="preserve"> that in [</w:t>
      </w:r>
      <w:r w:rsidR="0065402C">
        <w:t>1</w:t>
      </w:r>
      <w:r>
        <w:t>], the beam dwelling time is about 27</w:t>
      </w:r>
      <w:r w:rsidR="0065402C">
        <w:t xml:space="preserve"> </w:t>
      </w:r>
      <w:r>
        <w:t>ms. It is further reduced to 12</w:t>
      </w:r>
      <w:r w:rsidR="0065402C">
        <w:t xml:space="preserve"> </w:t>
      </w:r>
      <w:r>
        <w:t>ms for 5</w:t>
      </w:r>
      <w:r w:rsidR="0065402C">
        <w:t xml:space="preserve"> </w:t>
      </w:r>
      <w:r>
        <w:t xml:space="preserve">m distance. </w:t>
      </w:r>
      <w:r w:rsidR="00D21425">
        <w:t>This is comparable to the 3 ms latency of MAC-CE based beam update.</w:t>
      </w:r>
    </w:p>
    <w:p w14:paraId="2A0B7EAC" w14:textId="20E38236" w:rsidR="00DD7DB4" w:rsidRDefault="00DD7DB4" w:rsidP="00382C50">
      <w:pPr>
        <w:jc w:val="both"/>
      </w:pPr>
      <w:r>
        <w:lastRenderedPageBreak/>
        <w:t xml:space="preserve">Compared with MAC-CE, DCI based beam update for PDCCH can reduce the latency to a few slots, e.g. 2 slots (0.25 ms) without HARQ-ACK for the DCI, and 4 slots (0.5 ms) with HARQ-ACK for the DCI. To ensure reliability, we also recommend dedicated HARQ-ACK for the DCI, which is already supported for other DCI </w:t>
      </w:r>
      <w:r w:rsidR="00694EC4">
        <w:t>usages</w:t>
      </w:r>
      <w:r>
        <w:t xml:space="preserve">, e.g. for SPS release and SCell dormancy </w:t>
      </w:r>
      <w:r w:rsidR="002A752C">
        <w:t xml:space="preserve">status </w:t>
      </w:r>
      <w:r>
        <w:t xml:space="preserve">update. </w:t>
      </w:r>
    </w:p>
    <w:p w14:paraId="044785D7" w14:textId="1B7D96B2" w:rsidR="00382C50" w:rsidRPr="00C0166C" w:rsidRDefault="00382C50" w:rsidP="00382C50">
      <w:pPr>
        <w:jc w:val="both"/>
        <w:rPr>
          <w:b/>
          <w:lang w:eastAsia="ja-JP"/>
        </w:rPr>
      </w:pPr>
      <w:r w:rsidRPr="002E629B">
        <w:rPr>
          <w:b/>
          <w:u w:val="single"/>
          <w:lang w:eastAsia="ja-JP"/>
        </w:rPr>
        <w:t xml:space="preserve">Proposal </w:t>
      </w:r>
      <w:r>
        <w:rPr>
          <w:b/>
          <w:u w:val="single"/>
          <w:lang w:eastAsia="ja-JP"/>
        </w:rPr>
        <w:t>1</w:t>
      </w:r>
      <w:r w:rsidR="00B0413C">
        <w:rPr>
          <w:b/>
          <w:u w:val="single"/>
          <w:lang w:eastAsia="ja-JP"/>
        </w:rPr>
        <w:t>4</w:t>
      </w:r>
      <w:r w:rsidRPr="002E629B">
        <w:rPr>
          <w:b/>
          <w:lang w:eastAsia="ja-JP"/>
        </w:rPr>
        <w:t xml:space="preserve">: </w:t>
      </w:r>
      <w:r>
        <w:rPr>
          <w:b/>
          <w:lang w:eastAsia="ja-JP"/>
        </w:rPr>
        <w:t xml:space="preserve">Support </w:t>
      </w:r>
      <w:r w:rsidR="00EF74BA">
        <w:rPr>
          <w:b/>
          <w:lang w:eastAsia="ja-JP"/>
        </w:rPr>
        <w:t xml:space="preserve">unified </w:t>
      </w:r>
      <w:r>
        <w:rPr>
          <w:b/>
          <w:lang w:eastAsia="ja-JP"/>
        </w:rPr>
        <w:t xml:space="preserve">DCI based </w:t>
      </w:r>
      <w:r w:rsidR="00166B6F">
        <w:rPr>
          <w:b/>
          <w:lang w:eastAsia="ja-JP"/>
        </w:rPr>
        <w:t>beam</w:t>
      </w:r>
      <w:r>
        <w:rPr>
          <w:b/>
          <w:lang w:eastAsia="ja-JP"/>
        </w:rPr>
        <w:t xml:space="preserve"> update </w:t>
      </w:r>
      <w:r w:rsidR="004C7727">
        <w:rPr>
          <w:b/>
          <w:lang w:eastAsia="ja-JP"/>
        </w:rPr>
        <w:t>for all channels, including PDCCH</w:t>
      </w:r>
      <w:r>
        <w:rPr>
          <w:b/>
          <w:lang w:eastAsia="ja-JP"/>
        </w:rPr>
        <w:t>.</w:t>
      </w:r>
    </w:p>
    <w:p w14:paraId="313E31CA" w14:textId="3A08D6CB" w:rsidR="001752BE" w:rsidRDefault="001752BE" w:rsidP="002E48BA">
      <w:pPr>
        <w:rPr>
          <w:lang w:eastAsia="ja-JP"/>
        </w:rPr>
      </w:pPr>
    </w:p>
    <w:p w14:paraId="0458F4EC" w14:textId="015569FF" w:rsidR="004065AF" w:rsidRDefault="004065AF" w:rsidP="004065A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Issue 4 – Fast UL Panel Selection</w:t>
      </w:r>
    </w:p>
    <w:p w14:paraId="3EF5D6D6" w14:textId="4AE6452A" w:rsidR="004065AF" w:rsidRDefault="004065AF" w:rsidP="004065AF">
      <w:pPr>
        <w:jc w:val="both"/>
      </w:pPr>
      <w:r>
        <w:t xml:space="preserve">In R17, only TDMed UL panel transmission is supported. It is unclear on the use cases of the panel ID, i.e. what is the benefit for gNB to know the UL beam is from which panel? We prefer to have a solid understanding on the use cases before investigating any solution. </w:t>
      </w:r>
    </w:p>
    <w:p w14:paraId="3A5563C4" w14:textId="3807CCEC" w:rsidR="004065AF" w:rsidRPr="00C0166C" w:rsidRDefault="004065AF" w:rsidP="004065AF">
      <w:pPr>
        <w:jc w:val="both"/>
        <w:rPr>
          <w:b/>
          <w:lang w:eastAsia="ja-JP"/>
        </w:rPr>
      </w:pPr>
      <w:r w:rsidRPr="002E629B">
        <w:rPr>
          <w:b/>
          <w:u w:val="single"/>
          <w:lang w:eastAsia="ja-JP"/>
        </w:rPr>
        <w:t xml:space="preserve">Proposal </w:t>
      </w:r>
      <w:r>
        <w:rPr>
          <w:b/>
          <w:u w:val="single"/>
          <w:lang w:eastAsia="ja-JP"/>
        </w:rPr>
        <w:t>1</w:t>
      </w:r>
      <w:r w:rsidR="00B0413C">
        <w:rPr>
          <w:b/>
          <w:u w:val="single"/>
          <w:lang w:eastAsia="ja-JP"/>
        </w:rPr>
        <w:t>5</w:t>
      </w:r>
      <w:r w:rsidRPr="002E629B">
        <w:rPr>
          <w:b/>
          <w:lang w:eastAsia="ja-JP"/>
        </w:rPr>
        <w:t xml:space="preserve">: </w:t>
      </w:r>
      <w:r>
        <w:rPr>
          <w:b/>
          <w:lang w:eastAsia="ja-JP"/>
        </w:rPr>
        <w:t>No explicit panel ID at least for R17.</w:t>
      </w:r>
    </w:p>
    <w:p w14:paraId="0E1142B3" w14:textId="77777777" w:rsidR="006B641F" w:rsidRPr="00DA4FF4" w:rsidRDefault="006B641F" w:rsidP="006B641F">
      <w:pPr>
        <w:jc w:val="both"/>
        <w:rPr>
          <w:b/>
          <w:lang w:eastAsia="ja-JP"/>
        </w:rPr>
      </w:pPr>
    </w:p>
    <w:p w14:paraId="47387F3B" w14:textId="1FCB22F5" w:rsidR="006B641F" w:rsidRPr="007A0368" w:rsidRDefault="006B641F" w:rsidP="006B641F">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Issue 5 – UL Beam Selection Considering MPE</w:t>
      </w:r>
    </w:p>
    <w:p w14:paraId="5D75C8BB" w14:textId="77777777" w:rsidR="006B641F" w:rsidRDefault="006B641F" w:rsidP="006B641F">
      <w:pPr>
        <w:jc w:val="both"/>
      </w:pPr>
      <w:r w:rsidRPr="00C4350C">
        <w:rPr>
          <w:rFonts w:eastAsia="PMingLiU"/>
          <w:lang w:val="en-US"/>
        </w:rPr>
        <w:t>Due to the RF exposure issues, a UE cannot transmit with very high power towards a nearby human body</w:t>
      </w:r>
      <w:r>
        <w:rPr>
          <w:rFonts w:eastAsia="PMingLiU"/>
          <w:lang w:val="en-US"/>
        </w:rPr>
        <w:t xml:space="preserve">. </w:t>
      </w:r>
      <w:r w:rsidRPr="00C4350C">
        <w:rPr>
          <w:rFonts w:eastAsia="PMingLiU"/>
          <w:lang w:val="en-US"/>
        </w:rPr>
        <w:t xml:space="preserve">RAN4 has introduced during Rel-15 in the specification to enable the UE to comply with regulatory maximum </w:t>
      </w:r>
      <w:r>
        <w:t xml:space="preserve">permittable </w:t>
      </w:r>
      <w:r w:rsidRPr="00C4350C">
        <w:rPr>
          <w:rFonts w:eastAsia="PMingLiU"/>
          <w:lang w:val="en-US"/>
        </w:rPr>
        <w:t xml:space="preserve">exposure (MPE) limits, one is P-MPR, the other is </w:t>
      </w:r>
      <w:r w:rsidRPr="00773568">
        <w:rPr>
          <w:rFonts w:eastAsia="PMingLiU"/>
          <w:i/>
          <w:iCs/>
          <w:lang w:val="en-US"/>
        </w:rPr>
        <w:t>maxUplinkDutyCycle</w:t>
      </w:r>
      <w:r w:rsidRPr="00C4350C">
        <w:rPr>
          <w:rFonts w:eastAsia="PMingLiU"/>
          <w:lang w:val="en-US"/>
        </w:rPr>
        <w:t xml:space="preserve"> capability.</w:t>
      </w:r>
      <w:r>
        <w:rPr>
          <w:rFonts w:eastAsia="PMingLiU"/>
          <w:lang w:val="en-US"/>
        </w:rPr>
        <w:t xml:space="preserve"> When suffering from the MPE issue, the transmit power may be significantly reduced and, hence, may result in </w:t>
      </w:r>
      <w:r w:rsidRPr="00C4350C">
        <w:rPr>
          <w:rFonts w:eastAsia="PMingLiU"/>
          <w:lang w:val="en-US"/>
        </w:rPr>
        <w:t>large performance degradation or even link failure</w:t>
      </w:r>
      <w:r>
        <w:rPr>
          <w:rFonts w:eastAsia="PMingLiU"/>
          <w:lang w:val="en-US"/>
        </w:rPr>
        <w:t xml:space="preserve"> in uplink transmissions. </w:t>
      </w:r>
      <w:r w:rsidRPr="00C4350C">
        <w:rPr>
          <w:rFonts w:eastAsia="PMingLiU"/>
          <w:lang w:val="en-US"/>
        </w:rPr>
        <w:t xml:space="preserve">However, the MPE issue is highly directional in FR2. </w:t>
      </w:r>
      <w:r>
        <w:rPr>
          <w:rFonts w:eastAsia="PMingLiU"/>
          <w:lang w:val="en-US"/>
        </w:rPr>
        <w:t>This means, f</w:t>
      </w:r>
      <w:r w:rsidRPr="00C4350C">
        <w:rPr>
          <w:rFonts w:eastAsia="PMingLiU"/>
          <w:lang w:val="en-US"/>
        </w:rPr>
        <w:t xml:space="preserve">or a certain </w:t>
      </w:r>
      <w:r>
        <w:rPr>
          <w:rFonts w:eastAsia="PMingLiU"/>
          <w:lang w:val="en-US"/>
        </w:rPr>
        <w:t>UL</w:t>
      </w:r>
      <w:r w:rsidRPr="00C4350C">
        <w:rPr>
          <w:rFonts w:eastAsia="PMingLiU"/>
          <w:lang w:val="en-US"/>
        </w:rPr>
        <w:t xml:space="preserve"> beam, it may point towards a human body, and have potentially high P-MPR, while for some other uplink beams which may not point towards a human body, </w:t>
      </w:r>
      <w:r>
        <w:rPr>
          <w:rFonts w:eastAsia="PMingLiU"/>
          <w:lang w:val="en-US"/>
        </w:rPr>
        <w:t xml:space="preserve">they </w:t>
      </w:r>
      <w:r w:rsidRPr="00C4350C">
        <w:rPr>
          <w:rFonts w:eastAsia="PMingLiU"/>
          <w:lang w:val="en-US"/>
        </w:rPr>
        <w:t>can have low P-MPR. Thus</w:t>
      </w:r>
      <w:r>
        <w:rPr>
          <w:rFonts w:eastAsia="PMingLiU"/>
          <w:lang w:val="en-US"/>
        </w:rPr>
        <w:t>,</w:t>
      </w:r>
      <w:r w:rsidRPr="00C4350C">
        <w:rPr>
          <w:rFonts w:eastAsia="PMingLiU"/>
          <w:lang w:val="en-US"/>
        </w:rPr>
        <w:t xml:space="preserve"> the MPE issue can be </w:t>
      </w:r>
      <w:r>
        <w:rPr>
          <w:rFonts w:eastAsia="PMingLiU"/>
          <w:lang w:val="en-US"/>
        </w:rPr>
        <w:t>UL</w:t>
      </w:r>
      <w:r w:rsidRPr="00C4350C">
        <w:rPr>
          <w:rFonts w:eastAsia="PMingLiU"/>
          <w:lang w:val="en-US"/>
        </w:rPr>
        <w:t xml:space="preserve"> beam specific and can be effectively alleviated by the </w:t>
      </w:r>
      <w:r>
        <w:rPr>
          <w:rFonts w:eastAsia="PMingLiU"/>
          <w:lang w:val="en-US"/>
        </w:rPr>
        <w:t>UL</w:t>
      </w:r>
      <w:r w:rsidRPr="00C4350C">
        <w:rPr>
          <w:rFonts w:eastAsia="PMingLiU"/>
          <w:lang w:val="en-US"/>
        </w:rPr>
        <w:t xml:space="preserve"> </w:t>
      </w:r>
      <w:r>
        <w:rPr>
          <w:rFonts w:eastAsia="PMingLiU"/>
          <w:lang w:val="en-US"/>
        </w:rPr>
        <w:t xml:space="preserve">beam </w:t>
      </w:r>
      <w:r w:rsidRPr="00C4350C">
        <w:rPr>
          <w:rFonts w:eastAsia="PMingLiU"/>
          <w:lang w:val="en-US"/>
        </w:rPr>
        <w:t>management.</w:t>
      </w:r>
      <w:r>
        <w:rPr>
          <w:rFonts w:eastAsia="PMingLiU"/>
          <w:lang w:val="en-US"/>
        </w:rPr>
        <w:t xml:space="preserve"> </w:t>
      </w:r>
    </w:p>
    <w:p w14:paraId="0AA2A705" w14:textId="77777777" w:rsidR="006B641F" w:rsidRDefault="006B641F" w:rsidP="006B641F">
      <w:pPr>
        <w:jc w:val="both"/>
      </w:pPr>
      <w:r>
        <w:rPr>
          <w:rFonts w:eastAsia="PMingLiU"/>
          <w:lang w:val="en-US"/>
        </w:rPr>
        <w:t xml:space="preserve">Basically, </w:t>
      </w:r>
      <w:r>
        <w:t xml:space="preserve">the MPE issue can be solved either from the gNB side or from the UE side. From the gNB side, UL beam reporting can be considered. In R15/16, DL beam reporting is supported for UE to report the preferred DL reception beams, where the RSRP is used as the beam selection metric primarily for DL. However, the preferred beams for receiving DL transmission can be different from the preferred beams for UL channels. For example, the UL beam may suffer from the MPE issue, while the corresponding DL beam is not affected by the MPE. Thus, to maximize the UL coverage while maintaining DL performance, it is beneficial for UE to report CRI/SSBRI for preferred UL and DL beams, respectively. To achieve this, gNB may configure UE to report the preferred UL beams in UL beam report, separately from the preferred DL beams in DL beam report. Via UL beam report, gNB can keep the preferred UL beams updated for UL transmission via UL TCI framework to avoid the MPE issue. </w:t>
      </w:r>
    </w:p>
    <w:p w14:paraId="1CEE32AD" w14:textId="79E81227" w:rsidR="006B641F" w:rsidRDefault="006B641F" w:rsidP="006B641F">
      <w:pPr>
        <w:jc w:val="both"/>
        <w:rPr>
          <w:lang w:val="en-US"/>
        </w:rPr>
      </w:pPr>
      <w:r w:rsidRPr="00F12689">
        <w:rPr>
          <w:b/>
          <w:u w:val="single"/>
        </w:rPr>
        <w:t xml:space="preserve">Proposal </w:t>
      </w:r>
      <w:r>
        <w:rPr>
          <w:b/>
          <w:u w:val="single"/>
        </w:rPr>
        <w:t>1</w:t>
      </w:r>
      <w:r w:rsidR="00B0413C">
        <w:rPr>
          <w:b/>
          <w:u w:val="single"/>
        </w:rPr>
        <w:t>6</w:t>
      </w:r>
      <w:r w:rsidRPr="002E629B">
        <w:rPr>
          <w:b/>
          <w:u w:val="single"/>
        </w:rPr>
        <w:t>:</w:t>
      </w:r>
      <w:r w:rsidRPr="002E629B">
        <w:rPr>
          <w:b/>
        </w:rPr>
        <w:t xml:space="preserve"> </w:t>
      </w:r>
      <w:r w:rsidRPr="000C0364">
        <w:rPr>
          <w:b/>
        </w:rPr>
        <w:t xml:space="preserve">Support UE to report </w:t>
      </w:r>
      <w:r>
        <w:rPr>
          <w:b/>
        </w:rPr>
        <w:t xml:space="preserve">preferred </w:t>
      </w:r>
      <w:r w:rsidRPr="000C0364">
        <w:rPr>
          <w:b/>
        </w:rPr>
        <w:t xml:space="preserve">CRI/SSBRI for </w:t>
      </w:r>
      <w:r>
        <w:rPr>
          <w:b/>
        </w:rPr>
        <w:t xml:space="preserve">DL and </w:t>
      </w:r>
      <w:r w:rsidRPr="000C0364">
        <w:rPr>
          <w:b/>
        </w:rPr>
        <w:t>UL transmission</w:t>
      </w:r>
      <w:r>
        <w:rPr>
          <w:b/>
        </w:rPr>
        <w:t>s, separately</w:t>
      </w:r>
      <w:r>
        <w:t>.</w:t>
      </w:r>
    </w:p>
    <w:p w14:paraId="791AD1BD" w14:textId="77777777" w:rsidR="006B641F" w:rsidRPr="003341B8" w:rsidRDefault="006B641F" w:rsidP="006B641F">
      <w:pPr>
        <w:jc w:val="both"/>
      </w:pPr>
      <w:r>
        <w:rPr>
          <w:lang w:val="en-US"/>
        </w:rPr>
        <w:t xml:space="preserve">From UE side, MPE reporting can also be triggered by UL beam failure. </w:t>
      </w:r>
      <w:r>
        <w:t xml:space="preserve">In general, the MPE event is difficult to be predicted at gNB or </w:t>
      </w:r>
      <w:proofErr w:type="gramStart"/>
      <w:r>
        <w:t>UE, and</w:t>
      </w:r>
      <w:proofErr w:type="gramEnd"/>
      <w:r>
        <w:t xml:space="preserve"> may happen in any serving cell. Once MPE happens, the serving UL beam may fail and may not be able to report the preferred DL/UL beams as scheduled by gNB. In the presence of UL beam failure, the BFR framework in R15/16 can be reused for UE to report the MPE issue via RACH or SR. Upon receiving the MPE report, gNB can rely on UL TCI framework to either use any new UL beam indicated in the report or trigger beam sweep to find new UL beam. Thus, R15/16 BFR procedure can serve as a reference for the MPE reporting procedure. For example, </w:t>
      </w:r>
      <w:proofErr w:type="gramStart"/>
      <w:r>
        <w:t>similar to</w:t>
      </w:r>
      <w:proofErr w:type="gramEnd"/>
      <w:r>
        <w:t xml:space="preserve"> R16 SCell BFR, MAC-CE can be used to indicate the UL beam failure in the MPE reporting, and SR may be used when there is no suitable PUSCH.  </w:t>
      </w:r>
    </w:p>
    <w:p w14:paraId="14ED3706" w14:textId="5B911AE5" w:rsidR="006B641F" w:rsidRDefault="006B641F" w:rsidP="006B641F">
      <w:pPr>
        <w:jc w:val="both"/>
        <w:rPr>
          <w:b/>
        </w:rPr>
      </w:pPr>
      <w:r w:rsidRPr="00F12689">
        <w:rPr>
          <w:b/>
          <w:u w:val="single"/>
        </w:rPr>
        <w:t xml:space="preserve">Proposal </w:t>
      </w:r>
      <w:r>
        <w:rPr>
          <w:b/>
          <w:u w:val="single"/>
        </w:rPr>
        <w:t>1</w:t>
      </w:r>
      <w:r w:rsidR="00B0413C">
        <w:rPr>
          <w:b/>
          <w:u w:val="single"/>
        </w:rPr>
        <w:t>7</w:t>
      </w:r>
      <w:r w:rsidRPr="002E629B">
        <w:rPr>
          <w:b/>
          <w:u w:val="single"/>
        </w:rPr>
        <w:t>:</w:t>
      </w:r>
      <w:r w:rsidRPr="002E629B">
        <w:rPr>
          <w:b/>
        </w:rPr>
        <w:t xml:space="preserve"> </w:t>
      </w:r>
      <w:r w:rsidRPr="000C0364">
        <w:rPr>
          <w:b/>
        </w:rPr>
        <w:t xml:space="preserve">Support </w:t>
      </w:r>
      <w:r>
        <w:rPr>
          <w:b/>
        </w:rPr>
        <w:t>UE to report UL beam failure due to MPE issue.</w:t>
      </w:r>
    </w:p>
    <w:p w14:paraId="6B64A24A" w14:textId="77777777" w:rsidR="006B641F" w:rsidRPr="00A2175B" w:rsidRDefault="006B641F" w:rsidP="006B641F">
      <w:pPr>
        <w:pStyle w:val="ListParagraph"/>
        <w:numPr>
          <w:ilvl w:val="0"/>
          <w:numId w:val="12"/>
        </w:numPr>
        <w:spacing w:after="180"/>
      </w:pPr>
      <w:r>
        <w:rPr>
          <w:rFonts w:ascii="Times New Roman" w:eastAsia="Times New Roman" w:hAnsi="Times New Roman" w:cs="Times New Roman"/>
          <w:b/>
          <w:sz w:val="20"/>
          <w:szCs w:val="20"/>
        </w:rPr>
        <w:t>The Rel-15/16 BFR procedure can be a reference for the MPE reporting procedure.</w:t>
      </w:r>
    </w:p>
    <w:p w14:paraId="0EB2EB2B" w14:textId="77777777" w:rsidR="006B641F" w:rsidRPr="00903FFA" w:rsidRDefault="006B641F" w:rsidP="006B641F">
      <w:pPr>
        <w:jc w:val="both"/>
      </w:pPr>
      <w:r>
        <w:lastRenderedPageBreak/>
        <w:t>To enable the MPE report from the UE, i</w:t>
      </w:r>
      <w:r w:rsidRPr="003341B8">
        <w:t xml:space="preserve">t is better to </w:t>
      </w:r>
      <w:r>
        <w:t>clarify the report triggering condition from L1/L2 aspects. In R15/16, metrics are defined for DL BFD and new beam identification, such as hypothetical BLER and RSRP. In case of UL beam failure, it needs to clarify for a UE how to determine the serving UL beam suffers from MPE, and another UL beam is better than the serving UL beam. Specifically</w:t>
      </w:r>
      <w:r w:rsidRPr="003341B8">
        <w:t>, the MPE repor</w:t>
      </w:r>
      <w:r>
        <w:t>t</w:t>
      </w:r>
      <w:r w:rsidRPr="003341B8">
        <w:t xml:space="preserve"> </w:t>
      </w:r>
      <w:r>
        <w:t>may</w:t>
      </w:r>
      <w:r w:rsidRPr="003341B8">
        <w:t xml:space="preserve"> be </w:t>
      </w:r>
      <w:r w:rsidRPr="00534FAC">
        <w:t xml:space="preserve">triggered </w:t>
      </w:r>
      <w:r>
        <w:t xml:space="preserve">for the serving UL beam </w:t>
      </w:r>
      <w:r w:rsidRPr="00534FAC">
        <w:t xml:space="preserve">when the power backoff </w:t>
      </w:r>
      <w:r w:rsidRPr="00903FFA">
        <w:t xml:space="preserve">is greater than </w:t>
      </w:r>
      <w:r>
        <w:t>a certain</w:t>
      </w:r>
      <w:r w:rsidRPr="00903FFA">
        <w:t xml:space="preserve"> threshold, or the estimated UL RSRP is below </w:t>
      </w:r>
      <w:r>
        <w:t>a certain</w:t>
      </w:r>
      <w:r w:rsidRPr="00903FFA">
        <w:t xml:space="preserve"> threshold.</w:t>
      </w:r>
    </w:p>
    <w:p w14:paraId="3C8D6048" w14:textId="425CE658" w:rsidR="001333A6" w:rsidRDefault="006B641F" w:rsidP="00BB0945">
      <w:pPr>
        <w:jc w:val="both"/>
        <w:rPr>
          <w:b/>
        </w:rPr>
      </w:pPr>
      <w:r w:rsidRPr="00F12689">
        <w:rPr>
          <w:b/>
          <w:u w:val="single"/>
        </w:rPr>
        <w:t xml:space="preserve">Proposal </w:t>
      </w:r>
      <w:r w:rsidR="00BB0945">
        <w:rPr>
          <w:b/>
          <w:u w:val="single"/>
        </w:rPr>
        <w:t>1</w:t>
      </w:r>
      <w:r w:rsidR="00B0413C">
        <w:rPr>
          <w:b/>
          <w:u w:val="single"/>
        </w:rPr>
        <w:t>8</w:t>
      </w:r>
      <w:r w:rsidRPr="002E629B">
        <w:rPr>
          <w:b/>
          <w:u w:val="single"/>
        </w:rPr>
        <w:t>:</w:t>
      </w:r>
      <w:r w:rsidRPr="002E629B">
        <w:rPr>
          <w:b/>
        </w:rPr>
        <w:t xml:space="preserve"> </w:t>
      </w:r>
      <w:r>
        <w:rPr>
          <w:b/>
        </w:rPr>
        <w:t>The condition for UE to trigger MPE report should be specified.</w:t>
      </w:r>
    </w:p>
    <w:p w14:paraId="1E57676B" w14:textId="3715079A" w:rsidR="00403DA8" w:rsidRDefault="00BB0945" w:rsidP="00403DA8">
      <w:pPr>
        <w:jc w:val="both"/>
      </w:pPr>
      <w:r w:rsidRPr="00BB0945">
        <w:t>T</w:t>
      </w:r>
      <w:r>
        <w:t xml:space="preserve">he performance of MPE is </w:t>
      </w:r>
      <w:r w:rsidR="00403DA8">
        <w:t>investigated</w:t>
      </w:r>
      <w:r>
        <w:t xml:space="preserve"> next. The assumptions for</w:t>
      </w:r>
      <w:r w:rsidR="00403DA8">
        <w:t xml:space="preserve"> dense urban outdoor scenario</w:t>
      </w:r>
      <w:r>
        <w:t xml:space="preserve"> </w:t>
      </w:r>
      <w:r w:rsidR="00403DA8">
        <w:t xml:space="preserve">are </w:t>
      </w:r>
      <w:r w:rsidR="001250A8">
        <w:t>based on the agreement</w:t>
      </w:r>
      <w:r w:rsidR="00403DA8">
        <w:t xml:space="preserve"> </w:t>
      </w:r>
      <w:r>
        <w:t xml:space="preserve">in </w:t>
      </w:r>
      <w:r w:rsidR="00403DA8">
        <w:t xml:space="preserve">Table 3 of </w:t>
      </w:r>
      <w:r>
        <w:t>[1]</w:t>
      </w:r>
      <w:r w:rsidR="00403DA8">
        <w:t xml:space="preserve">. Additional details are listed below for calibration purpose.  </w:t>
      </w:r>
    </w:p>
    <w:p w14:paraId="73F16F6C" w14:textId="77777777" w:rsidR="00281E28" w:rsidRPr="00403DA8" w:rsidRDefault="00281E28" w:rsidP="00403DA8">
      <w:pPr>
        <w:jc w:val="both"/>
      </w:pPr>
    </w:p>
    <w:tbl>
      <w:tblPr>
        <w:tblStyle w:val="TableGrid"/>
        <w:tblW w:w="0" w:type="auto"/>
        <w:jc w:val="center"/>
        <w:tblLook w:val="04A0" w:firstRow="1" w:lastRow="0" w:firstColumn="1" w:lastColumn="0" w:noHBand="0" w:noVBand="1"/>
      </w:tblPr>
      <w:tblGrid>
        <w:gridCol w:w="2425"/>
        <w:gridCol w:w="2340"/>
        <w:gridCol w:w="2362"/>
        <w:gridCol w:w="2223"/>
      </w:tblGrid>
      <w:tr w:rsidR="00980D35" w14:paraId="73D0534E" w14:textId="7C6BC219" w:rsidTr="000D3D9A">
        <w:trPr>
          <w:jc w:val="center"/>
        </w:trPr>
        <w:tc>
          <w:tcPr>
            <w:tcW w:w="2425" w:type="dxa"/>
            <w:tcBorders>
              <w:top w:val="single" w:sz="4" w:space="0" w:color="auto"/>
              <w:left w:val="single" w:sz="4" w:space="0" w:color="auto"/>
              <w:bottom w:val="single" w:sz="4" w:space="0" w:color="auto"/>
              <w:right w:val="nil"/>
            </w:tcBorders>
          </w:tcPr>
          <w:p w14:paraId="370A83C4" w14:textId="17E87EF0" w:rsidR="00980D35" w:rsidRDefault="00980D35">
            <w:pPr>
              <w:spacing w:after="160" w:line="259" w:lineRule="auto"/>
              <w:rPr>
                <w:b/>
              </w:rPr>
            </w:pPr>
            <w:r>
              <w:rPr>
                <w:b/>
              </w:rPr>
              <w:t>Parameter Name</w:t>
            </w:r>
          </w:p>
        </w:tc>
        <w:tc>
          <w:tcPr>
            <w:tcW w:w="2340" w:type="dxa"/>
            <w:tcBorders>
              <w:top w:val="single" w:sz="4" w:space="0" w:color="auto"/>
              <w:left w:val="nil"/>
              <w:bottom w:val="single" w:sz="4" w:space="0" w:color="auto"/>
              <w:right w:val="single" w:sz="4" w:space="0" w:color="auto"/>
            </w:tcBorders>
          </w:tcPr>
          <w:p w14:paraId="296DC94D" w14:textId="4A1F585E" w:rsidR="00980D35" w:rsidRDefault="00980D35">
            <w:pPr>
              <w:spacing w:after="160" w:line="259" w:lineRule="auto"/>
              <w:rPr>
                <w:b/>
              </w:rPr>
            </w:pPr>
            <w:r>
              <w:rPr>
                <w:b/>
              </w:rPr>
              <w:t>Value</w:t>
            </w:r>
          </w:p>
        </w:tc>
        <w:tc>
          <w:tcPr>
            <w:tcW w:w="2362" w:type="dxa"/>
            <w:tcBorders>
              <w:top w:val="single" w:sz="4" w:space="0" w:color="auto"/>
              <w:left w:val="single" w:sz="4" w:space="0" w:color="auto"/>
              <w:bottom w:val="single" w:sz="4" w:space="0" w:color="auto"/>
              <w:right w:val="nil"/>
            </w:tcBorders>
          </w:tcPr>
          <w:p w14:paraId="4D024592" w14:textId="2DAC6FC2" w:rsidR="00980D35" w:rsidRDefault="00980D35">
            <w:pPr>
              <w:spacing w:after="160" w:line="259" w:lineRule="auto"/>
              <w:rPr>
                <w:b/>
              </w:rPr>
            </w:pPr>
            <w:r>
              <w:rPr>
                <w:b/>
              </w:rPr>
              <w:t>Parameter</w:t>
            </w:r>
          </w:p>
        </w:tc>
        <w:tc>
          <w:tcPr>
            <w:tcW w:w="2223" w:type="dxa"/>
            <w:tcBorders>
              <w:top w:val="single" w:sz="4" w:space="0" w:color="auto"/>
              <w:left w:val="nil"/>
              <w:bottom w:val="single" w:sz="4" w:space="0" w:color="auto"/>
              <w:right w:val="single" w:sz="4" w:space="0" w:color="auto"/>
            </w:tcBorders>
          </w:tcPr>
          <w:p w14:paraId="6B33E20E" w14:textId="3ED3E71A" w:rsidR="00980D35" w:rsidRDefault="00980D35">
            <w:pPr>
              <w:spacing w:after="160" w:line="259" w:lineRule="auto"/>
              <w:rPr>
                <w:b/>
              </w:rPr>
            </w:pPr>
            <w:r>
              <w:rPr>
                <w:b/>
              </w:rPr>
              <w:t>Value</w:t>
            </w:r>
          </w:p>
        </w:tc>
      </w:tr>
      <w:tr w:rsidR="00980D35" w14:paraId="5C06BD57" w14:textId="40742221" w:rsidTr="000D3D9A">
        <w:trPr>
          <w:jc w:val="center"/>
        </w:trPr>
        <w:tc>
          <w:tcPr>
            <w:tcW w:w="2425" w:type="dxa"/>
            <w:tcBorders>
              <w:top w:val="single" w:sz="4" w:space="0" w:color="auto"/>
              <w:left w:val="single" w:sz="4" w:space="0" w:color="auto"/>
              <w:bottom w:val="single" w:sz="4" w:space="0" w:color="auto"/>
              <w:right w:val="nil"/>
            </w:tcBorders>
          </w:tcPr>
          <w:p w14:paraId="1A18CA5A" w14:textId="375E787C" w:rsidR="00980D35" w:rsidRPr="00980D35" w:rsidRDefault="00980D35">
            <w:pPr>
              <w:spacing w:after="160" w:line="259" w:lineRule="auto"/>
              <w:rPr>
                <w:bCs/>
              </w:rPr>
            </w:pPr>
            <w:r w:rsidRPr="00980D35">
              <w:rPr>
                <w:bCs/>
              </w:rPr>
              <w:t xml:space="preserve">Channel Model </w:t>
            </w:r>
          </w:p>
        </w:tc>
        <w:tc>
          <w:tcPr>
            <w:tcW w:w="2340" w:type="dxa"/>
            <w:tcBorders>
              <w:top w:val="single" w:sz="4" w:space="0" w:color="auto"/>
              <w:left w:val="nil"/>
              <w:bottom w:val="single" w:sz="4" w:space="0" w:color="auto"/>
              <w:right w:val="single" w:sz="4" w:space="0" w:color="auto"/>
            </w:tcBorders>
          </w:tcPr>
          <w:p w14:paraId="4417B1A4" w14:textId="1115EF8A" w:rsidR="00980D35" w:rsidRPr="00980D35" w:rsidRDefault="00980D35">
            <w:pPr>
              <w:spacing w:after="160" w:line="259" w:lineRule="auto"/>
              <w:rPr>
                <w:bCs/>
              </w:rPr>
            </w:pPr>
            <w:r w:rsidRPr="00980D35">
              <w:rPr>
                <w:bCs/>
              </w:rPr>
              <w:t>UMI with ISD 200 m</w:t>
            </w:r>
          </w:p>
        </w:tc>
        <w:tc>
          <w:tcPr>
            <w:tcW w:w="2362" w:type="dxa"/>
            <w:tcBorders>
              <w:top w:val="single" w:sz="4" w:space="0" w:color="auto"/>
              <w:left w:val="single" w:sz="4" w:space="0" w:color="auto"/>
              <w:bottom w:val="single" w:sz="4" w:space="0" w:color="auto"/>
              <w:right w:val="nil"/>
            </w:tcBorders>
          </w:tcPr>
          <w:p w14:paraId="424E2D52" w14:textId="002FE641" w:rsidR="00980D35" w:rsidRPr="00CC36C9" w:rsidRDefault="00CC36C9">
            <w:pPr>
              <w:spacing w:after="160" w:line="259" w:lineRule="auto"/>
              <w:rPr>
                <w:bCs/>
              </w:rPr>
            </w:pPr>
            <w:r w:rsidRPr="00CC36C9">
              <w:rPr>
                <w:bCs/>
              </w:rPr>
              <w:t>gNB element #</w:t>
            </w:r>
            <w:r w:rsidR="00D0664E">
              <w:rPr>
                <w:bCs/>
              </w:rPr>
              <w:t xml:space="preserve"> per sector</w:t>
            </w:r>
          </w:p>
        </w:tc>
        <w:tc>
          <w:tcPr>
            <w:tcW w:w="2223" w:type="dxa"/>
            <w:tcBorders>
              <w:top w:val="single" w:sz="4" w:space="0" w:color="auto"/>
              <w:left w:val="nil"/>
              <w:bottom w:val="single" w:sz="4" w:space="0" w:color="auto"/>
              <w:right w:val="single" w:sz="4" w:space="0" w:color="auto"/>
            </w:tcBorders>
          </w:tcPr>
          <w:p w14:paraId="4C2D7AC1" w14:textId="37E0EF32" w:rsidR="00980D35" w:rsidRPr="00CC36C9" w:rsidRDefault="00CC36C9">
            <w:pPr>
              <w:spacing w:after="160" w:line="259" w:lineRule="auto"/>
              <w:rPr>
                <w:bCs/>
              </w:rPr>
            </w:pPr>
            <w:r w:rsidRPr="00CC36C9">
              <w:rPr>
                <w:bCs/>
              </w:rPr>
              <w:t>256</w:t>
            </w:r>
          </w:p>
        </w:tc>
      </w:tr>
      <w:tr w:rsidR="00B60442" w14:paraId="0EC3AF9A" w14:textId="07CB2166" w:rsidTr="000D3D9A">
        <w:trPr>
          <w:jc w:val="center"/>
        </w:trPr>
        <w:tc>
          <w:tcPr>
            <w:tcW w:w="2425" w:type="dxa"/>
            <w:tcBorders>
              <w:top w:val="single" w:sz="4" w:space="0" w:color="auto"/>
              <w:left w:val="single" w:sz="4" w:space="0" w:color="auto"/>
              <w:bottom w:val="single" w:sz="4" w:space="0" w:color="auto"/>
              <w:right w:val="nil"/>
            </w:tcBorders>
          </w:tcPr>
          <w:p w14:paraId="099A8781" w14:textId="73736BE7" w:rsidR="00B60442" w:rsidRPr="00980D35" w:rsidRDefault="00B60442" w:rsidP="00B60442">
            <w:pPr>
              <w:spacing w:after="160" w:line="259" w:lineRule="auto"/>
              <w:rPr>
                <w:bCs/>
              </w:rPr>
            </w:pPr>
            <w:r w:rsidRPr="00980D35">
              <w:rPr>
                <w:bCs/>
              </w:rPr>
              <w:t>Max UE Tx power</w:t>
            </w:r>
          </w:p>
        </w:tc>
        <w:tc>
          <w:tcPr>
            <w:tcW w:w="2340" w:type="dxa"/>
            <w:tcBorders>
              <w:top w:val="single" w:sz="4" w:space="0" w:color="auto"/>
              <w:left w:val="nil"/>
              <w:bottom w:val="single" w:sz="4" w:space="0" w:color="auto"/>
              <w:right w:val="single" w:sz="4" w:space="0" w:color="auto"/>
            </w:tcBorders>
          </w:tcPr>
          <w:p w14:paraId="084D0BA0" w14:textId="48D31524" w:rsidR="00B60442" w:rsidRPr="00980D35" w:rsidRDefault="00B60442" w:rsidP="00B60442">
            <w:pPr>
              <w:spacing w:after="160" w:line="259" w:lineRule="auto"/>
              <w:rPr>
                <w:bCs/>
              </w:rPr>
            </w:pPr>
            <w:r w:rsidRPr="00980D35">
              <w:rPr>
                <w:bCs/>
              </w:rPr>
              <w:t>23 dB</w:t>
            </w:r>
            <w:r w:rsidR="00C27EEC">
              <w:rPr>
                <w:bCs/>
              </w:rPr>
              <w:t>m</w:t>
            </w:r>
          </w:p>
        </w:tc>
        <w:tc>
          <w:tcPr>
            <w:tcW w:w="2362" w:type="dxa"/>
            <w:tcBorders>
              <w:top w:val="single" w:sz="4" w:space="0" w:color="auto"/>
              <w:left w:val="single" w:sz="4" w:space="0" w:color="auto"/>
              <w:bottom w:val="single" w:sz="4" w:space="0" w:color="auto"/>
              <w:right w:val="nil"/>
            </w:tcBorders>
          </w:tcPr>
          <w:p w14:paraId="16CCED05" w14:textId="31B797B2" w:rsidR="00B60442" w:rsidRPr="00CC36C9" w:rsidRDefault="00B60442" w:rsidP="00B60442">
            <w:pPr>
              <w:spacing w:after="160" w:line="259" w:lineRule="auto"/>
              <w:rPr>
                <w:bCs/>
              </w:rPr>
            </w:pPr>
            <w:r w:rsidRPr="00B74393">
              <w:t>gNB antenna element gain</w:t>
            </w:r>
          </w:p>
        </w:tc>
        <w:tc>
          <w:tcPr>
            <w:tcW w:w="2223" w:type="dxa"/>
            <w:tcBorders>
              <w:top w:val="single" w:sz="4" w:space="0" w:color="auto"/>
              <w:left w:val="nil"/>
              <w:bottom w:val="single" w:sz="4" w:space="0" w:color="auto"/>
              <w:right w:val="single" w:sz="4" w:space="0" w:color="auto"/>
            </w:tcBorders>
          </w:tcPr>
          <w:p w14:paraId="4EAD9DAD" w14:textId="5726D630" w:rsidR="00B60442" w:rsidRPr="00CC36C9" w:rsidRDefault="00C27EEC" w:rsidP="00B60442">
            <w:pPr>
              <w:spacing w:after="160" w:line="259" w:lineRule="auto"/>
              <w:rPr>
                <w:bCs/>
              </w:rPr>
            </w:pPr>
            <w:r>
              <w:t>8</w:t>
            </w:r>
            <w:r w:rsidR="00B60442" w:rsidRPr="00B74393">
              <w:t xml:space="preserve"> dBi</w:t>
            </w:r>
          </w:p>
        </w:tc>
      </w:tr>
      <w:tr w:rsidR="00B60442" w14:paraId="7DB272B7" w14:textId="7586CCE9" w:rsidTr="000D3D9A">
        <w:trPr>
          <w:jc w:val="center"/>
        </w:trPr>
        <w:tc>
          <w:tcPr>
            <w:tcW w:w="2425" w:type="dxa"/>
            <w:tcBorders>
              <w:top w:val="single" w:sz="4" w:space="0" w:color="auto"/>
              <w:left w:val="single" w:sz="4" w:space="0" w:color="auto"/>
              <w:bottom w:val="single" w:sz="4" w:space="0" w:color="auto"/>
              <w:right w:val="nil"/>
            </w:tcBorders>
          </w:tcPr>
          <w:p w14:paraId="04345C73" w14:textId="5F1165B5" w:rsidR="00B60442" w:rsidRPr="00980D35" w:rsidRDefault="00B60442" w:rsidP="00B60442">
            <w:pPr>
              <w:spacing w:after="160" w:line="259" w:lineRule="auto"/>
              <w:rPr>
                <w:bCs/>
              </w:rPr>
            </w:pPr>
            <w:r w:rsidRPr="00980D35">
              <w:rPr>
                <w:bCs/>
              </w:rPr>
              <w:t>UE antenna element gain</w:t>
            </w:r>
          </w:p>
        </w:tc>
        <w:tc>
          <w:tcPr>
            <w:tcW w:w="2340" w:type="dxa"/>
            <w:tcBorders>
              <w:top w:val="single" w:sz="4" w:space="0" w:color="auto"/>
              <w:left w:val="nil"/>
              <w:bottom w:val="single" w:sz="4" w:space="0" w:color="auto"/>
              <w:right w:val="single" w:sz="4" w:space="0" w:color="auto"/>
            </w:tcBorders>
          </w:tcPr>
          <w:p w14:paraId="67CB4F6A" w14:textId="1C27F8B8" w:rsidR="00B60442" w:rsidRPr="00980D35" w:rsidRDefault="00B60442" w:rsidP="00B60442">
            <w:pPr>
              <w:spacing w:after="160" w:line="259" w:lineRule="auto"/>
              <w:rPr>
                <w:bCs/>
              </w:rPr>
            </w:pPr>
            <w:r w:rsidRPr="00980D35">
              <w:rPr>
                <w:bCs/>
              </w:rPr>
              <w:t>5 dBi</w:t>
            </w:r>
          </w:p>
        </w:tc>
        <w:tc>
          <w:tcPr>
            <w:tcW w:w="2362" w:type="dxa"/>
            <w:tcBorders>
              <w:top w:val="single" w:sz="4" w:space="0" w:color="auto"/>
              <w:left w:val="single" w:sz="4" w:space="0" w:color="auto"/>
              <w:bottom w:val="single" w:sz="4" w:space="0" w:color="auto"/>
              <w:right w:val="nil"/>
            </w:tcBorders>
          </w:tcPr>
          <w:p w14:paraId="4F700965" w14:textId="54921245" w:rsidR="00B60442" w:rsidRPr="00CC36C9" w:rsidRDefault="00B60442" w:rsidP="00B60442">
            <w:pPr>
              <w:spacing w:after="160" w:line="259" w:lineRule="auto"/>
              <w:rPr>
                <w:bCs/>
              </w:rPr>
            </w:pPr>
            <w:r w:rsidRPr="00FF7F63">
              <w:t>Blocked UE panel</w:t>
            </w:r>
          </w:p>
        </w:tc>
        <w:tc>
          <w:tcPr>
            <w:tcW w:w="2223" w:type="dxa"/>
            <w:tcBorders>
              <w:top w:val="single" w:sz="4" w:space="0" w:color="auto"/>
              <w:left w:val="nil"/>
              <w:bottom w:val="single" w:sz="4" w:space="0" w:color="auto"/>
              <w:right w:val="single" w:sz="4" w:space="0" w:color="auto"/>
            </w:tcBorders>
          </w:tcPr>
          <w:p w14:paraId="1825402F" w14:textId="02D3D18A" w:rsidR="00B60442" w:rsidRPr="00CC36C9" w:rsidRDefault="00B60442" w:rsidP="00B60442">
            <w:pPr>
              <w:spacing w:after="160" w:line="259" w:lineRule="auto"/>
              <w:rPr>
                <w:bCs/>
              </w:rPr>
            </w:pPr>
            <w:r w:rsidRPr="00FF7F63">
              <w:t>Random one at sim start</w:t>
            </w:r>
          </w:p>
        </w:tc>
      </w:tr>
      <w:tr w:rsidR="00B60442" w14:paraId="386EE956" w14:textId="681C1267" w:rsidTr="000D3D9A">
        <w:trPr>
          <w:jc w:val="center"/>
        </w:trPr>
        <w:tc>
          <w:tcPr>
            <w:tcW w:w="2425" w:type="dxa"/>
            <w:tcBorders>
              <w:top w:val="single" w:sz="4" w:space="0" w:color="auto"/>
              <w:left w:val="single" w:sz="4" w:space="0" w:color="auto"/>
              <w:bottom w:val="single" w:sz="4" w:space="0" w:color="auto"/>
              <w:right w:val="nil"/>
            </w:tcBorders>
          </w:tcPr>
          <w:p w14:paraId="41E7D52F" w14:textId="1D8F357F" w:rsidR="00B60442" w:rsidRPr="00980D35" w:rsidRDefault="00B60442" w:rsidP="00B60442">
            <w:pPr>
              <w:spacing w:after="160" w:line="259" w:lineRule="auto"/>
              <w:rPr>
                <w:bCs/>
              </w:rPr>
            </w:pPr>
            <w:r w:rsidRPr="00980D35">
              <w:rPr>
                <w:bCs/>
              </w:rPr>
              <w:t>UE array gain</w:t>
            </w:r>
          </w:p>
        </w:tc>
        <w:tc>
          <w:tcPr>
            <w:tcW w:w="2340" w:type="dxa"/>
            <w:tcBorders>
              <w:top w:val="single" w:sz="4" w:space="0" w:color="auto"/>
              <w:left w:val="nil"/>
              <w:bottom w:val="single" w:sz="4" w:space="0" w:color="auto"/>
              <w:right w:val="single" w:sz="4" w:space="0" w:color="auto"/>
            </w:tcBorders>
          </w:tcPr>
          <w:p w14:paraId="75EA4BE8" w14:textId="7D67A8A3" w:rsidR="00B60442" w:rsidRPr="00980D35" w:rsidRDefault="00B60442" w:rsidP="00B60442">
            <w:pPr>
              <w:spacing w:after="160" w:line="259" w:lineRule="auto"/>
              <w:rPr>
                <w:bCs/>
              </w:rPr>
            </w:pPr>
            <w:r w:rsidRPr="00980D35">
              <w:rPr>
                <w:bCs/>
              </w:rPr>
              <w:t>6 dB</w:t>
            </w:r>
          </w:p>
        </w:tc>
        <w:tc>
          <w:tcPr>
            <w:tcW w:w="2362" w:type="dxa"/>
            <w:tcBorders>
              <w:top w:val="single" w:sz="4" w:space="0" w:color="auto"/>
              <w:left w:val="single" w:sz="4" w:space="0" w:color="auto"/>
              <w:bottom w:val="single" w:sz="4" w:space="0" w:color="auto"/>
              <w:right w:val="nil"/>
            </w:tcBorders>
          </w:tcPr>
          <w:p w14:paraId="17FAF6A0" w14:textId="22624A4D" w:rsidR="00B60442" w:rsidRPr="00CC36C9" w:rsidRDefault="00B60442" w:rsidP="00B60442">
            <w:pPr>
              <w:spacing w:after="160" w:line="259" w:lineRule="auto"/>
              <w:rPr>
                <w:bCs/>
              </w:rPr>
            </w:pPr>
            <w:r w:rsidRPr="000563EC">
              <w:t>UE # per sector</w:t>
            </w:r>
          </w:p>
        </w:tc>
        <w:tc>
          <w:tcPr>
            <w:tcW w:w="2223" w:type="dxa"/>
            <w:tcBorders>
              <w:top w:val="single" w:sz="4" w:space="0" w:color="auto"/>
              <w:left w:val="nil"/>
              <w:bottom w:val="single" w:sz="4" w:space="0" w:color="auto"/>
              <w:right w:val="single" w:sz="4" w:space="0" w:color="auto"/>
            </w:tcBorders>
          </w:tcPr>
          <w:p w14:paraId="11D41F9C" w14:textId="2FC93A93" w:rsidR="00B60442" w:rsidRPr="00CC36C9" w:rsidRDefault="00B60442" w:rsidP="00B60442">
            <w:pPr>
              <w:spacing w:after="160" w:line="259" w:lineRule="auto"/>
              <w:rPr>
                <w:bCs/>
              </w:rPr>
            </w:pPr>
            <w:r w:rsidRPr="000563EC">
              <w:t>10</w:t>
            </w:r>
          </w:p>
        </w:tc>
      </w:tr>
      <w:tr w:rsidR="00B60442" w14:paraId="1A92A520" w14:textId="77777777" w:rsidTr="000D3D9A">
        <w:trPr>
          <w:jc w:val="center"/>
        </w:trPr>
        <w:tc>
          <w:tcPr>
            <w:tcW w:w="2425" w:type="dxa"/>
            <w:tcBorders>
              <w:top w:val="single" w:sz="4" w:space="0" w:color="auto"/>
              <w:left w:val="single" w:sz="4" w:space="0" w:color="auto"/>
              <w:bottom w:val="single" w:sz="4" w:space="0" w:color="auto"/>
              <w:right w:val="nil"/>
            </w:tcBorders>
          </w:tcPr>
          <w:p w14:paraId="1BE0D0A2" w14:textId="4DC4E892" w:rsidR="00B60442" w:rsidRPr="00980D35" w:rsidRDefault="00B60442" w:rsidP="00B60442">
            <w:pPr>
              <w:spacing w:after="160" w:line="259" w:lineRule="auto"/>
              <w:rPr>
                <w:bCs/>
              </w:rPr>
            </w:pPr>
            <w:r w:rsidRPr="004C14AA">
              <w:t>Blocked panel modelling</w:t>
            </w:r>
          </w:p>
        </w:tc>
        <w:tc>
          <w:tcPr>
            <w:tcW w:w="2340" w:type="dxa"/>
            <w:tcBorders>
              <w:top w:val="single" w:sz="4" w:space="0" w:color="auto"/>
              <w:left w:val="nil"/>
              <w:bottom w:val="single" w:sz="4" w:space="0" w:color="auto"/>
              <w:right w:val="single" w:sz="4" w:space="0" w:color="auto"/>
            </w:tcBorders>
          </w:tcPr>
          <w:p w14:paraId="1AB08C81" w14:textId="161B0EF2" w:rsidR="00B60442" w:rsidRPr="00980D35" w:rsidRDefault="00B60442" w:rsidP="00B60442">
            <w:pPr>
              <w:spacing w:after="160" w:line="259" w:lineRule="auto"/>
              <w:rPr>
                <w:bCs/>
              </w:rPr>
            </w:pPr>
            <w:r w:rsidRPr="004C14AA">
              <w:t>Additional 10 dB loss on DL/UL + 10 dB max UL power reduction</w:t>
            </w:r>
          </w:p>
        </w:tc>
        <w:tc>
          <w:tcPr>
            <w:tcW w:w="2362" w:type="dxa"/>
            <w:tcBorders>
              <w:top w:val="single" w:sz="4" w:space="0" w:color="auto"/>
              <w:left w:val="single" w:sz="4" w:space="0" w:color="auto"/>
              <w:bottom w:val="single" w:sz="4" w:space="0" w:color="auto"/>
              <w:right w:val="nil"/>
            </w:tcBorders>
          </w:tcPr>
          <w:p w14:paraId="020AE671" w14:textId="542246A8" w:rsidR="00B60442" w:rsidRDefault="00EA59CE" w:rsidP="00B60442">
            <w:pPr>
              <w:spacing w:after="160" w:line="259" w:lineRule="auto"/>
              <w:rPr>
                <w:bCs/>
              </w:rPr>
            </w:pPr>
            <w:r>
              <w:t>UE</w:t>
            </w:r>
            <w:r w:rsidR="00B60442" w:rsidRPr="00E9696D">
              <w:t xml:space="preserve"> orientation</w:t>
            </w:r>
          </w:p>
        </w:tc>
        <w:tc>
          <w:tcPr>
            <w:tcW w:w="2223" w:type="dxa"/>
            <w:tcBorders>
              <w:top w:val="single" w:sz="4" w:space="0" w:color="auto"/>
              <w:left w:val="nil"/>
              <w:bottom w:val="single" w:sz="4" w:space="0" w:color="auto"/>
              <w:right w:val="single" w:sz="4" w:space="0" w:color="auto"/>
            </w:tcBorders>
          </w:tcPr>
          <w:p w14:paraId="77372BA7" w14:textId="48C94846" w:rsidR="00B60442" w:rsidRDefault="00B60442" w:rsidP="00B60442">
            <w:pPr>
              <w:spacing w:after="160" w:line="259" w:lineRule="auto"/>
              <w:rPr>
                <w:bCs/>
              </w:rPr>
            </w:pPr>
            <w:r w:rsidRPr="00E9696D">
              <w:t>Vertical but random in azimuth</w:t>
            </w:r>
          </w:p>
        </w:tc>
      </w:tr>
      <w:tr w:rsidR="00EA59CE" w14:paraId="7743CCA1" w14:textId="77777777" w:rsidTr="000D3D9A">
        <w:trPr>
          <w:jc w:val="center"/>
        </w:trPr>
        <w:tc>
          <w:tcPr>
            <w:tcW w:w="2425" w:type="dxa"/>
            <w:tcBorders>
              <w:top w:val="single" w:sz="4" w:space="0" w:color="auto"/>
              <w:left w:val="single" w:sz="4" w:space="0" w:color="auto"/>
              <w:bottom w:val="single" w:sz="4" w:space="0" w:color="auto"/>
              <w:right w:val="nil"/>
            </w:tcBorders>
          </w:tcPr>
          <w:p w14:paraId="74B81486" w14:textId="1049B963" w:rsidR="00EA59CE" w:rsidRPr="004C14AA" w:rsidRDefault="00EA59CE" w:rsidP="00B60442">
            <w:pPr>
              <w:spacing w:after="160" w:line="259" w:lineRule="auto"/>
            </w:pPr>
            <w:r>
              <w:t>Panel # per UE</w:t>
            </w:r>
          </w:p>
        </w:tc>
        <w:tc>
          <w:tcPr>
            <w:tcW w:w="2340" w:type="dxa"/>
            <w:tcBorders>
              <w:top w:val="single" w:sz="4" w:space="0" w:color="auto"/>
              <w:left w:val="nil"/>
              <w:bottom w:val="single" w:sz="4" w:space="0" w:color="auto"/>
              <w:right w:val="single" w:sz="4" w:space="0" w:color="auto"/>
            </w:tcBorders>
          </w:tcPr>
          <w:p w14:paraId="54F856EF" w14:textId="7759BD8A" w:rsidR="00EA59CE" w:rsidRPr="004C14AA" w:rsidRDefault="00EA59CE" w:rsidP="00B60442">
            <w:pPr>
              <w:spacing w:after="160" w:line="259" w:lineRule="auto"/>
            </w:pPr>
            <w:r>
              <w:t>3</w:t>
            </w:r>
          </w:p>
        </w:tc>
        <w:tc>
          <w:tcPr>
            <w:tcW w:w="2362" w:type="dxa"/>
            <w:tcBorders>
              <w:top w:val="single" w:sz="4" w:space="0" w:color="auto"/>
              <w:left w:val="single" w:sz="4" w:space="0" w:color="auto"/>
              <w:bottom w:val="single" w:sz="4" w:space="0" w:color="auto"/>
              <w:right w:val="nil"/>
            </w:tcBorders>
          </w:tcPr>
          <w:p w14:paraId="562BEB36" w14:textId="5586441F" w:rsidR="00EA59CE" w:rsidRDefault="00EA59CE" w:rsidP="00B60442">
            <w:pPr>
              <w:spacing w:after="160" w:line="259" w:lineRule="auto"/>
            </w:pPr>
            <w:r>
              <w:t>Panel orientation</w:t>
            </w:r>
          </w:p>
        </w:tc>
        <w:tc>
          <w:tcPr>
            <w:tcW w:w="2223" w:type="dxa"/>
            <w:tcBorders>
              <w:top w:val="single" w:sz="4" w:space="0" w:color="auto"/>
              <w:left w:val="nil"/>
              <w:bottom w:val="single" w:sz="4" w:space="0" w:color="auto"/>
              <w:right w:val="single" w:sz="4" w:space="0" w:color="auto"/>
            </w:tcBorders>
          </w:tcPr>
          <w:p w14:paraId="6DEB4F08" w14:textId="1F33BCC1" w:rsidR="00EA59CE" w:rsidRPr="00E9696D" w:rsidRDefault="00EA59CE" w:rsidP="00B60442">
            <w:pPr>
              <w:spacing w:after="160" w:line="259" w:lineRule="auto"/>
            </w:pPr>
            <w:r>
              <w:t>Left, back, right</w:t>
            </w:r>
          </w:p>
        </w:tc>
      </w:tr>
    </w:tbl>
    <w:p w14:paraId="60210C6F" w14:textId="1053D37A" w:rsidR="00281E28" w:rsidRDefault="00281E28" w:rsidP="00281E28">
      <w:pPr>
        <w:spacing w:after="200"/>
        <w:jc w:val="center"/>
        <w:rPr>
          <w:b/>
          <w:iCs/>
          <w:szCs w:val="22"/>
        </w:rPr>
      </w:pPr>
      <w:r>
        <w:rPr>
          <w:b/>
          <w:iCs/>
          <w:szCs w:val="22"/>
        </w:rPr>
        <w:t>Table 1</w:t>
      </w:r>
      <w:r w:rsidRPr="00723189">
        <w:rPr>
          <w:b/>
          <w:iCs/>
          <w:szCs w:val="22"/>
        </w:rPr>
        <w:t xml:space="preserve">: </w:t>
      </w:r>
      <w:r>
        <w:rPr>
          <w:b/>
          <w:iCs/>
          <w:szCs w:val="22"/>
        </w:rPr>
        <w:t xml:space="preserve">Simulation </w:t>
      </w:r>
      <w:r w:rsidR="001A4792">
        <w:rPr>
          <w:b/>
          <w:iCs/>
          <w:szCs w:val="22"/>
        </w:rPr>
        <w:t>A</w:t>
      </w:r>
      <w:r>
        <w:rPr>
          <w:b/>
          <w:iCs/>
          <w:szCs w:val="22"/>
        </w:rPr>
        <w:t xml:space="preserve">ssumptions for MPE </w:t>
      </w:r>
      <w:r w:rsidR="001A4792">
        <w:rPr>
          <w:b/>
          <w:iCs/>
          <w:szCs w:val="22"/>
        </w:rPr>
        <w:t>P</w:t>
      </w:r>
      <w:r>
        <w:rPr>
          <w:b/>
          <w:iCs/>
          <w:szCs w:val="22"/>
        </w:rPr>
        <w:t xml:space="preserve">erformance </w:t>
      </w:r>
    </w:p>
    <w:p w14:paraId="2F39E8F9" w14:textId="74CC65A5" w:rsidR="00A51821" w:rsidRDefault="00A51821" w:rsidP="00404132">
      <w:pPr>
        <w:jc w:val="both"/>
      </w:pPr>
    </w:p>
    <w:tbl>
      <w:tblPr>
        <w:tblStyle w:val="TableGrid"/>
        <w:tblW w:w="7099" w:type="dxa"/>
        <w:jc w:val="center"/>
        <w:tblLook w:val="04A0" w:firstRow="1" w:lastRow="0" w:firstColumn="1" w:lastColumn="0" w:noHBand="0" w:noVBand="1"/>
      </w:tblPr>
      <w:tblGrid>
        <w:gridCol w:w="1923"/>
        <w:gridCol w:w="1311"/>
        <w:gridCol w:w="1280"/>
        <w:gridCol w:w="1267"/>
        <w:gridCol w:w="1318"/>
      </w:tblGrid>
      <w:tr w:rsidR="007638D1" w14:paraId="106CECB0" w14:textId="77777777" w:rsidTr="007C6F08">
        <w:trPr>
          <w:jc w:val="center"/>
        </w:trPr>
        <w:tc>
          <w:tcPr>
            <w:tcW w:w="1923" w:type="dxa"/>
          </w:tcPr>
          <w:p w14:paraId="11415582" w14:textId="77777777" w:rsidR="007638D1" w:rsidRDefault="007638D1" w:rsidP="007C6F08">
            <w:pPr>
              <w:spacing w:after="160" w:line="259" w:lineRule="auto"/>
              <w:rPr>
                <w:b/>
              </w:rPr>
            </w:pPr>
          </w:p>
        </w:tc>
        <w:tc>
          <w:tcPr>
            <w:tcW w:w="2591" w:type="dxa"/>
            <w:gridSpan w:val="2"/>
          </w:tcPr>
          <w:p w14:paraId="127A28BB" w14:textId="77777777" w:rsidR="007638D1" w:rsidRDefault="007638D1" w:rsidP="007C6F08">
            <w:pPr>
              <w:spacing w:after="160" w:line="259" w:lineRule="auto"/>
              <w:rPr>
                <w:b/>
              </w:rPr>
            </w:pPr>
            <w:r>
              <w:rPr>
                <w:b/>
              </w:rPr>
              <w:t>All UEs</w:t>
            </w:r>
          </w:p>
        </w:tc>
        <w:tc>
          <w:tcPr>
            <w:tcW w:w="2585" w:type="dxa"/>
            <w:gridSpan w:val="2"/>
          </w:tcPr>
          <w:p w14:paraId="737952DD" w14:textId="77777777" w:rsidR="007638D1" w:rsidRDefault="007638D1" w:rsidP="007C6F08">
            <w:pPr>
              <w:spacing w:after="160" w:line="259" w:lineRule="auto"/>
              <w:rPr>
                <w:b/>
              </w:rPr>
            </w:pPr>
            <w:r>
              <w:rPr>
                <w:b/>
              </w:rPr>
              <w:t>Impacted UEs</w:t>
            </w:r>
          </w:p>
        </w:tc>
      </w:tr>
      <w:tr w:rsidR="007638D1" w14:paraId="5D3C9802" w14:textId="77777777" w:rsidTr="007C6F08">
        <w:trPr>
          <w:jc w:val="center"/>
        </w:trPr>
        <w:tc>
          <w:tcPr>
            <w:tcW w:w="1923" w:type="dxa"/>
          </w:tcPr>
          <w:p w14:paraId="3DC0CDEA" w14:textId="77777777" w:rsidR="007638D1" w:rsidRPr="00980D35" w:rsidRDefault="007638D1" w:rsidP="007C6F08">
            <w:pPr>
              <w:spacing w:after="160" w:line="259" w:lineRule="auto"/>
              <w:rPr>
                <w:bCs/>
              </w:rPr>
            </w:pPr>
          </w:p>
        </w:tc>
        <w:tc>
          <w:tcPr>
            <w:tcW w:w="1311" w:type="dxa"/>
          </w:tcPr>
          <w:p w14:paraId="28A869C5" w14:textId="77777777" w:rsidR="007638D1" w:rsidRPr="007E1AF0" w:rsidRDefault="007638D1" w:rsidP="007C6F08">
            <w:pPr>
              <w:spacing w:after="160" w:line="259" w:lineRule="auto"/>
              <w:rPr>
                <w:bCs/>
                <w:sz w:val="18"/>
                <w:szCs w:val="18"/>
              </w:rPr>
            </w:pPr>
            <w:r w:rsidRPr="007E1AF0">
              <w:rPr>
                <w:bCs/>
                <w:sz w:val="18"/>
                <w:szCs w:val="18"/>
              </w:rPr>
              <w:t>Without MPE mitigation</w:t>
            </w:r>
          </w:p>
        </w:tc>
        <w:tc>
          <w:tcPr>
            <w:tcW w:w="1280" w:type="dxa"/>
          </w:tcPr>
          <w:p w14:paraId="5FEE6349" w14:textId="77777777" w:rsidR="007638D1" w:rsidRPr="007E1AF0" w:rsidRDefault="007638D1" w:rsidP="007C6F08">
            <w:pPr>
              <w:spacing w:after="160" w:line="259" w:lineRule="auto"/>
              <w:rPr>
                <w:bCs/>
                <w:sz w:val="18"/>
                <w:szCs w:val="18"/>
              </w:rPr>
            </w:pPr>
            <w:r w:rsidRPr="007E1AF0">
              <w:rPr>
                <w:bCs/>
                <w:sz w:val="18"/>
                <w:szCs w:val="18"/>
              </w:rPr>
              <w:t>With MPE mitigation</w:t>
            </w:r>
          </w:p>
        </w:tc>
        <w:tc>
          <w:tcPr>
            <w:tcW w:w="1267" w:type="dxa"/>
          </w:tcPr>
          <w:p w14:paraId="5763D49D" w14:textId="77777777" w:rsidR="007638D1" w:rsidRPr="007E1AF0" w:rsidRDefault="007638D1" w:rsidP="007C6F08">
            <w:pPr>
              <w:spacing w:after="160" w:line="259" w:lineRule="auto"/>
              <w:rPr>
                <w:bCs/>
                <w:sz w:val="18"/>
                <w:szCs w:val="18"/>
              </w:rPr>
            </w:pPr>
            <w:r w:rsidRPr="007E1AF0">
              <w:rPr>
                <w:bCs/>
                <w:sz w:val="18"/>
                <w:szCs w:val="18"/>
              </w:rPr>
              <w:t>Without MPE mitigation</w:t>
            </w:r>
          </w:p>
        </w:tc>
        <w:tc>
          <w:tcPr>
            <w:tcW w:w="1318" w:type="dxa"/>
          </w:tcPr>
          <w:p w14:paraId="2BE076DC" w14:textId="77777777" w:rsidR="007638D1" w:rsidRPr="007E1AF0" w:rsidRDefault="007638D1" w:rsidP="007C6F08">
            <w:pPr>
              <w:spacing w:after="160" w:line="259" w:lineRule="auto"/>
              <w:rPr>
                <w:bCs/>
                <w:sz w:val="18"/>
                <w:szCs w:val="18"/>
              </w:rPr>
            </w:pPr>
            <w:r w:rsidRPr="007E1AF0">
              <w:rPr>
                <w:bCs/>
                <w:sz w:val="18"/>
                <w:szCs w:val="18"/>
              </w:rPr>
              <w:t>With MPE mitigation</w:t>
            </w:r>
          </w:p>
        </w:tc>
      </w:tr>
      <w:tr w:rsidR="007638D1" w14:paraId="61317111" w14:textId="77777777" w:rsidTr="007C6F08">
        <w:trPr>
          <w:jc w:val="center"/>
        </w:trPr>
        <w:tc>
          <w:tcPr>
            <w:tcW w:w="1923" w:type="dxa"/>
          </w:tcPr>
          <w:p w14:paraId="78A06681" w14:textId="77777777" w:rsidR="007638D1" w:rsidRPr="00980D35" w:rsidRDefault="007638D1" w:rsidP="007C6F08">
            <w:pPr>
              <w:spacing w:after="160" w:line="259" w:lineRule="auto"/>
              <w:rPr>
                <w:bCs/>
              </w:rPr>
            </w:pPr>
            <w:r w:rsidRPr="007E1AF0">
              <w:rPr>
                <w:bCs/>
              </w:rPr>
              <w:t xml:space="preserve">5%ile </w:t>
            </w:r>
            <w:r>
              <w:rPr>
                <w:bCs/>
              </w:rPr>
              <w:t>TPUT (Mbps)</w:t>
            </w:r>
          </w:p>
        </w:tc>
        <w:tc>
          <w:tcPr>
            <w:tcW w:w="1311" w:type="dxa"/>
          </w:tcPr>
          <w:p w14:paraId="3C8964A4" w14:textId="77777777" w:rsidR="007638D1" w:rsidRPr="00980D35" w:rsidRDefault="007638D1" w:rsidP="007C6F08">
            <w:pPr>
              <w:spacing w:after="160" w:line="259" w:lineRule="auto"/>
              <w:jc w:val="center"/>
              <w:rPr>
                <w:bCs/>
              </w:rPr>
            </w:pPr>
            <w:r>
              <w:rPr>
                <w:bCs/>
              </w:rPr>
              <w:t>0.2</w:t>
            </w:r>
          </w:p>
        </w:tc>
        <w:tc>
          <w:tcPr>
            <w:tcW w:w="1280" w:type="dxa"/>
          </w:tcPr>
          <w:p w14:paraId="7DE6B221" w14:textId="77777777" w:rsidR="007638D1" w:rsidRPr="00CC36C9" w:rsidRDefault="007638D1" w:rsidP="007C6F08">
            <w:pPr>
              <w:spacing w:after="160" w:line="259" w:lineRule="auto"/>
              <w:jc w:val="center"/>
              <w:rPr>
                <w:bCs/>
              </w:rPr>
            </w:pPr>
            <w:r>
              <w:rPr>
                <w:bCs/>
              </w:rPr>
              <w:t>0.5</w:t>
            </w:r>
          </w:p>
        </w:tc>
        <w:tc>
          <w:tcPr>
            <w:tcW w:w="1267" w:type="dxa"/>
          </w:tcPr>
          <w:p w14:paraId="164C91EE" w14:textId="77777777" w:rsidR="007638D1" w:rsidRPr="00CC36C9" w:rsidRDefault="007638D1" w:rsidP="007C6F08">
            <w:pPr>
              <w:spacing w:after="160" w:line="259" w:lineRule="auto"/>
              <w:jc w:val="center"/>
              <w:rPr>
                <w:bCs/>
              </w:rPr>
            </w:pPr>
            <w:r>
              <w:rPr>
                <w:bCs/>
              </w:rPr>
              <w:t>0.01</w:t>
            </w:r>
          </w:p>
        </w:tc>
        <w:tc>
          <w:tcPr>
            <w:tcW w:w="1318" w:type="dxa"/>
          </w:tcPr>
          <w:p w14:paraId="12870758" w14:textId="77777777" w:rsidR="007638D1" w:rsidRPr="00FF7F63" w:rsidRDefault="007638D1" w:rsidP="007C6F08">
            <w:pPr>
              <w:spacing w:after="160" w:line="259" w:lineRule="auto"/>
              <w:jc w:val="center"/>
            </w:pPr>
            <w:r>
              <w:t>0.2</w:t>
            </w:r>
          </w:p>
        </w:tc>
      </w:tr>
      <w:tr w:rsidR="007638D1" w14:paraId="6073B6DC" w14:textId="77777777" w:rsidTr="007C6F08">
        <w:trPr>
          <w:jc w:val="center"/>
        </w:trPr>
        <w:tc>
          <w:tcPr>
            <w:tcW w:w="1923" w:type="dxa"/>
          </w:tcPr>
          <w:p w14:paraId="40CB788F" w14:textId="77777777" w:rsidR="007638D1" w:rsidRPr="00980D35" w:rsidRDefault="007638D1" w:rsidP="007C6F08">
            <w:pPr>
              <w:spacing w:after="160" w:line="259" w:lineRule="auto"/>
              <w:rPr>
                <w:bCs/>
              </w:rPr>
            </w:pPr>
            <w:r w:rsidRPr="007E1AF0">
              <w:rPr>
                <w:bCs/>
              </w:rPr>
              <w:t>5%ile TPUT</w:t>
            </w:r>
            <w:r>
              <w:rPr>
                <w:bCs/>
              </w:rPr>
              <w:t xml:space="preserve"> gain</w:t>
            </w:r>
          </w:p>
        </w:tc>
        <w:tc>
          <w:tcPr>
            <w:tcW w:w="1311" w:type="dxa"/>
          </w:tcPr>
          <w:p w14:paraId="58DCE88E" w14:textId="77777777" w:rsidR="007638D1" w:rsidRPr="00980D35" w:rsidRDefault="007638D1" w:rsidP="007C6F08">
            <w:pPr>
              <w:spacing w:after="160" w:line="259" w:lineRule="auto"/>
              <w:jc w:val="center"/>
              <w:rPr>
                <w:bCs/>
              </w:rPr>
            </w:pPr>
            <w:r w:rsidRPr="007E1AF0">
              <w:rPr>
                <w:bCs/>
              </w:rPr>
              <w:t>–</w:t>
            </w:r>
          </w:p>
        </w:tc>
        <w:tc>
          <w:tcPr>
            <w:tcW w:w="1280" w:type="dxa"/>
          </w:tcPr>
          <w:p w14:paraId="2DD26AED" w14:textId="77777777" w:rsidR="007638D1" w:rsidRPr="00CC36C9" w:rsidRDefault="007638D1" w:rsidP="007C6F08">
            <w:pPr>
              <w:spacing w:after="160" w:line="259" w:lineRule="auto"/>
              <w:jc w:val="center"/>
              <w:rPr>
                <w:bCs/>
              </w:rPr>
            </w:pPr>
            <w:r>
              <w:rPr>
                <w:bCs/>
              </w:rPr>
              <w:t>250%</w:t>
            </w:r>
          </w:p>
        </w:tc>
        <w:tc>
          <w:tcPr>
            <w:tcW w:w="1267" w:type="dxa"/>
          </w:tcPr>
          <w:p w14:paraId="7C5CC9AE" w14:textId="77777777" w:rsidR="007638D1" w:rsidRPr="00CC36C9" w:rsidRDefault="007638D1" w:rsidP="007C6F08">
            <w:pPr>
              <w:spacing w:after="160" w:line="259" w:lineRule="auto"/>
              <w:jc w:val="center"/>
              <w:rPr>
                <w:bCs/>
              </w:rPr>
            </w:pPr>
            <w:r w:rsidRPr="007E1AF0">
              <w:rPr>
                <w:bCs/>
              </w:rPr>
              <w:t>–</w:t>
            </w:r>
          </w:p>
        </w:tc>
        <w:tc>
          <w:tcPr>
            <w:tcW w:w="1318" w:type="dxa"/>
          </w:tcPr>
          <w:p w14:paraId="0EB21246" w14:textId="77777777" w:rsidR="007638D1" w:rsidRPr="000563EC" w:rsidRDefault="007638D1" w:rsidP="007C6F08">
            <w:pPr>
              <w:spacing w:after="160" w:line="259" w:lineRule="auto"/>
              <w:jc w:val="center"/>
            </w:pPr>
            <w:r>
              <w:t>2000%</w:t>
            </w:r>
          </w:p>
        </w:tc>
      </w:tr>
      <w:tr w:rsidR="007638D1" w14:paraId="23244090" w14:textId="77777777" w:rsidTr="007C6F08">
        <w:trPr>
          <w:jc w:val="center"/>
        </w:trPr>
        <w:tc>
          <w:tcPr>
            <w:tcW w:w="1923" w:type="dxa"/>
          </w:tcPr>
          <w:p w14:paraId="523AEEF0" w14:textId="77777777" w:rsidR="007638D1" w:rsidRPr="00980D35" w:rsidRDefault="007638D1" w:rsidP="007C6F08">
            <w:pPr>
              <w:spacing w:after="160" w:line="259" w:lineRule="auto"/>
              <w:rPr>
                <w:bCs/>
              </w:rPr>
            </w:pPr>
            <w:r>
              <w:t>Mean</w:t>
            </w:r>
            <w:r w:rsidRPr="001B3A33">
              <w:t xml:space="preserve"> TPUT (Mbps)</w:t>
            </w:r>
          </w:p>
        </w:tc>
        <w:tc>
          <w:tcPr>
            <w:tcW w:w="1311" w:type="dxa"/>
          </w:tcPr>
          <w:p w14:paraId="39ED3EEF" w14:textId="77777777" w:rsidR="007638D1" w:rsidRPr="00980D35" w:rsidRDefault="007638D1" w:rsidP="007C6F08">
            <w:pPr>
              <w:spacing w:after="160" w:line="259" w:lineRule="auto"/>
              <w:jc w:val="center"/>
              <w:rPr>
                <w:bCs/>
              </w:rPr>
            </w:pPr>
            <w:r w:rsidRPr="00963938">
              <w:t>13.2</w:t>
            </w:r>
          </w:p>
        </w:tc>
        <w:tc>
          <w:tcPr>
            <w:tcW w:w="1280" w:type="dxa"/>
          </w:tcPr>
          <w:p w14:paraId="5D94372E" w14:textId="77777777" w:rsidR="007638D1" w:rsidRDefault="007638D1" w:rsidP="007C6F08">
            <w:pPr>
              <w:spacing w:after="160" w:line="259" w:lineRule="auto"/>
              <w:jc w:val="center"/>
              <w:rPr>
                <w:bCs/>
              </w:rPr>
            </w:pPr>
            <w:r w:rsidRPr="00963938">
              <w:t>21.1</w:t>
            </w:r>
          </w:p>
        </w:tc>
        <w:tc>
          <w:tcPr>
            <w:tcW w:w="1267" w:type="dxa"/>
          </w:tcPr>
          <w:p w14:paraId="1A15D02E" w14:textId="77777777" w:rsidR="007638D1" w:rsidRDefault="007638D1" w:rsidP="007C6F08">
            <w:pPr>
              <w:spacing w:after="160" w:line="259" w:lineRule="auto"/>
              <w:jc w:val="center"/>
              <w:rPr>
                <w:bCs/>
              </w:rPr>
            </w:pPr>
            <w:r w:rsidRPr="00963938">
              <w:t>5.4</w:t>
            </w:r>
          </w:p>
        </w:tc>
        <w:tc>
          <w:tcPr>
            <w:tcW w:w="1318" w:type="dxa"/>
          </w:tcPr>
          <w:p w14:paraId="51E040D6" w14:textId="77777777" w:rsidR="007638D1" w:rsidRPr="00E9696D" w:rsidRDefault="007638D1" w:rsidP="007C6F08">
            <w:pPr>
              <w:spacing w:after="160" w:line="259" w:lineRule="auto"/>
              <w:jc w:val="center"/>
            </w:pPr>
            <w:r w:rsidRPr="00963938">
              <w:t>10.6</w:t>
            </w:r>
          </w:p>
        </w:tc>
      </w:tr>
      <w:tr w:rsidR="007638D1" w14:paraId="7CDF850A" w14:textId="77777777" w:rsidTr="007C6F08">
        <w:trPr>
          <w:trHeight w:val="41"/>
          <w:jc w:val="center"/>
        </w:trPr>
        <w:tc>
          <w:tcPr>
            <w:tcW w:w="1923" w:type="dxa"/>
          </w:tcPr>
          <w:p w14:paraId="40CDA097" w14:textId="77777777" w:rsidR="007638D1" w:rsidRPr="00980D35" w:rsidRDefault="007638D1" w:rsidP="007C6F08">
            <w:pPr>
              <w:spacing w:after="160" w:line="259" w:lineRule="auto"/>
              <w:rPr>
                <w:bCs/>
              </w:rPr>
            </w:pPr>
            <w:r>
              <w:t>Mean</w:t>
            </w:r>
            <w:r w:rsidRPr="001B3A33">
              <w:t xml:space="preserve"> TPUT gain</w:t>
            </w:r>
          </w:p>
        </w:tc>
        <w:tc>
          <w:tcPr>
            <w:tcW w:w="1311" w:type="dxa"/>
          </w:tcPr>
          <w:p w14:paraId="2B969740" w14:textId="77777777" w:rsidR="007638D1" w:rsidRPr="00980D35" w:rsidRDefault="007638D1" w:rsidP="007C6F08">
            <w:pPr>
              <w:spacing w:after="160" w:line="259" w:lineRule="auto"/>
              <w:jc w:val="center"/>
              <w:rPr>
                <w:bCs/>
              </w:rPr>
            </w:pPr>
            <w:r w:rsidRPr="001B3A33">
              <w:t>–</w:t>
            </w:r>
          </w:p>
        </w:tc>
        <w:tc>
          <w:tcPr>
            <w:tcW w:w="1280" w:type="dxa"/>
          </w:tcPr>
          <w:p w14:paraId="4B353649" w14:textId="77777777" w:rsidR="007638D1" w:rsidRDefault="007638D1" w:rsidP="007C6F08">
            <w:pPr>
              <w:spacing w:after="160" w:line="259" w:lineRule="auto"/>
              <w:jc w:val="center"/>
              <w:rPr>
                <w:bCs/>
              </w:rPr>
            </w:pPr>
            <w:r>
              <w:t>62</w:t>
            </w:r>
            <w:r w:rsidRPr="001B3A33">
              <w:t>%</w:t>
            </w:r>
          </w:p>
        </w:tc>
        <w:tc>
          <w:tcPr>
            <w:tcW w:w="1267" w:type="dxa"/>
          </w:tcPr>
          <w:p w14:paraId="537065A9" w14:textId="77777777" w:rsidR="007638D1" w:rsidRDefault="007638D1" w:rsidP="007C6F08">
            <w:pPr>
              <w:spacing w:after="160" w:line="259" w:lineRule="auto"/>
              <w:jc w:val="center"/>
              <w:rPr>
                <w:bCs/>
              </w:rPr>
            </w:pPr>
            <w:r w:rsidRPr="001B3A33">
              <w:t>–</w:t>
            </w:r>
          </w:p>
        </w:tc>
        <w:tc>
          <w:tcPr>
            <w:tcW w:w="1318" w:type="dxa"/>
          </w:tcPr>
          <w:p w14:paraId="19F8E7C1" w14:textId="77777777" w:rsidR="007638D1" w:rsidRPr="00E9696D" w:rsidRDefault="007638D1" w:rsidP="007C6F08">
            <w:pPr>
              <w:spacing w:after="160" w:line="259" w:lineRule="auto"/>
              <w:jc w:val="center"/>
            </w:pPr>
            <w:r>
              <w:t>96</w:t>
            </w:r>
            <w:r w:rsidRPr="001B3A33">
              <w:t>%</w:t>
            </w:r>
          </w:p>
        </w:tc>
      </w:tr>
    </w:tbl>
    <w:p w14:paraId="606DEAA8" w14:textId="2E857F07" w:rsidR="007638D1" w:rsidRPr="007638D1" w:rsidRDefault="007638D1" w:rsidP="007638D1">
      <w:pPr>
        <w:spacing w:after="200"/>
        <w:jc w:val="center"/>
        <w:rPr>
          <w:b/>
          <w:iCs/>
          <w:szCs w:val="22"/>
        </w:rPr>
      </w:pPr>
      <w:r>
        <w:rPr>
          <w:b/>
          <w:iCs/>
          <w:szCs w:val="22"/>
        </w:rPr>
        <w:t>Table 2</w:t>
      </w:r>
      <w:r w:rsidRPr="00723189">
        <w:rPr>
          <w:b/>
          <w:iCs/>
          <w:szCs w:val="22"/>
        </w:rPr>
        <w:t xml:space="preserve">: </w:t>
      </w:r>
      <w:r>
        <w:rPr>
          <w:b/>
          <w:iCs/>
          <w:szCs w:val="22"/>
        </w:rPr>
        <w:t xml:space="preserve">Summary of UE Throughput Gain with MPE Mitigation </w:t>
      </w:r>
    </w:p>
    <w:p w14:paraId="522B30F3" w14:textId="77777777" w:rsidR="007638D1" w:rsidRDefault="007638D1" w:rsidP="00F116C6">
      <w:pPr>
        <w:jc w:val="both"/>
      </w:pPr>
    </w:p>
    <w:p w14:paraId="43BE757E" w14:textId="616F61AB" w:rsidR="00BB0945" w:rsidRPr="00404132" w:rsidRDefault="00404132" w:rsidP="00F116C6">
      <w:pPr>
        <w:jc w:val="both"/>
      </w:pPr>
      <w:r w:rsidRPr="00404132">
        <w:t xml:space="preserve">The </w:t>
      </w:r>
      <w:r>
        <w:t xml:space="preserve">CDFs of </w:t>
      </w:r>
      <w:r w:rsidRPr="00404132">
        <w:t xml:space="preserve">UE </w:t>
      </w:r>
      <w:r>
        <w:t>mean throughput, medi</w:t>
      </w:r>
      <w:r w:rsidR="00A83542">
        <w:t>an</w:t>
      </w:r>
      <w:r>
        <w:t xml:space="preserve"> SNR, medi</w:t>
      </w:r>
      <w:r w:rsidR="00A83542">
        <w:t>an</w:t>
      </w:r>
      <w:r>
        <w:t xml:space="preserve"> SINR are plotted in Figure </w:t>
      </w:r>
      <w:r w:rsidR="00EA2BE2">
        <w:t>8</w:t>
      </w:r>
      <w:r>
        <w:t xml:space="preserve"> for the following 3 schemes. Compared with the scheme without MPE mitigation (green), the scheme with MPE mitigation (blue) improves all metrics by selecting the best DL beam not suffering MPE</w:t>
      </w:r>
      <w:r w:rsidR="007E6A6D">
        <w:t xml:space="preserve"> as the UL beam</w:t>
      </w:r>
      <w:r>
        <w:t xml:space="preserve">, which enhances </w:t>
      </w:r>
      <w:r w:rsidR="007E6A6D">
        <w:t xml:space="preserve">the </w:t>
      </w:r>
      <w:r>
        <w:t>UL performance significantly</w:t>
      </w:r>
      <w:r w:rsidR="007E6A6D">
        <w:t>.</w:t>
      </w:r>
      <w:r w:rsidR="00F116C6">
        <w:t xml:space="preserve"> The throughput gain with MPE mitigation is summarized in Table 2, where for the </w:t>
      </w:r>
      <w:r w:rsidR="00F116C6" w:rsidRPr="00F116C6">
        <w:t xml:space="preserve">5%ile TPUT gain: 250% </w:t>
      </w:r>
      <w:r w:rsidR="00803CA1">
        <w:t>in general</w:t>
      </w:r>
      <w:r w:rsidR="00F116C6" w:rsidRPr="00F116C6">
        <w:t>, 2000% for suffering UEs</w:t>
      </w:r>
      <w:r w:rsidR="00F116C6">
        <w:t>, and for the m</w:t>
      </w:r>
      <w:r w:rsidR="00F116C6" w:rsidRPr="00F116C6">
        <w:t>ean TPUT gain: 62% in general, 96% for suffering UEs</w:t>
      </w:r>
      <w:r w:rsidR="00F116C6">
        <w:t>.</w:t>
      </w:r>
      <w:r w:rsidR="00C96C85">
        <w:t xml:space="preserve"> Meanwhile, the CDF of UE path loss is plotted in Figure </w:t>
      </w:r>
      <w:r w:rsidR="00EA2BE2">
        <w:t>8</w:t>
      </w:r>
      <w:r w:rsidR="00C96C85">
        <w:t xml:space="preserve"> </w:t>
      </w:r>
      <w:r w:rsidR="00803CA1">
        <w:t xml:space="preserve">as well </w:t>
      </w:r>
      <w:r w:rsidR="00C96C85">
        <w:t xml:space="preserve">for calibration purpose.  </w:t>
      </w:r>
    </w:p>
    <w:p w14:paraId="4C8ED20B" w14:textId="6BF2A1B8" w:rsidR="00A8329D" w:rsidRDefault="00A8329D" w:rsidP="00A8329D">
      <w:pPr>
        <w:jc w:val="both"/>
        <w:rPr>
          <w:b/>
          <w:lang w:eastAsia="ja-JP"/>
        </w:rPr>
      </w:pPr>
      <w:r>
        <w:rPr>
          <w:b/>
          <w:u w:val="single"/>
          <w:lang w:eastAsia="ja-JP"/>
        </w:rPr>
        <w:t>Observation 2</w:t>
      </w:r>
      <w:r w:rsidRPr="002E629B">
        <w:rPr>
          <w:b/>
          <w:lang w:eastAsia="ja-JP"/>
        </w:rPr>
        <w:t xml:space="preserve">: </w:t>
      </w:r>
      <w:r>
        <w:rPr>
          <w:b/>
          <w:lang w:eastAsia="ja-JP"/>
        </w:rPr>
        <w:t>Throughput improvement can be observed with MPE mitigation in dense urban scenario.</w:t>
      </w:r>
    </w:p>
    <w:p w14:paraId="63547BBB" w14:textId="6DC6E310" w:rsidR="00A8329D" w:rsidRPr="00A8329D" w:rsidRDefault="00A8329D" w:rsidP="00A8329D">
      <w:pPr>
        <w:pStyle w:val="ListParagraph"/>
        <w:numPr>
          <w:ilvl w:val="0"/>
          <w:numId w:val="12"/>
        </w:numPr>
        <w:jc w:val="both"/>
        <w:rPr>
          <w:rFonts w:ascii="Times New Roman" w:hAnsi="Times New Roman" w:cs="Times New Roman"/>
          <w:b/>
          <w:sz w:val="20"/>
          <w:szCs w:val="20"/>
          <w:lang w:eastAsia="ja-JP"/>
        </w:rPr>
      </w:pPr>
      <w:r w:rsidRPr="00A8329D">
        <w:rPr>
          <w:rFonts w:ascii="Times New Roman" w:hAnsi="Times New Roman" w:cs="Times New Roman"/>
          <w:b/>
          <w:sz w:val="20"/>
          <w:szCs w:val="20"/>
          <w:lang w:eastAsia="ja-JP"/>
        </w:rPr>
        <w:t>5%ile TPUT gain is 250%; mean UE TPUT gain is 63%</w:t>
      </w:r>
    </w:p>
    <w:p w14:paraId="32905775" w14:textId="77777777" w:rsidR="007638D1" w:rsidRPr="007638D1" w:rsidRDefault="007638D1" w:rsidP="00BB0945">
      <w:pPr>
        <w:jc w:val="both"/>
        <w:rPr>
          <w:b/>
        </w:rPr>
      </w:pPr>
    </w:p>
    <w:p w14:paraId="5BBC492A" w14:textId="1FFF1E43" w:rsidR="001333A6" w:rsidRDefault="00B214A5" w:rsidP="000D3D9A">
      <w:pPr>
        <w:jc w:val="center"/>
        <w:rPr>
          <w:lang w:eastAsia="ja-JP"/>
        </w:rPr>
      </w:pPr>
      <w:r w:rsidRPr="00B214A5">
        <w:rPr>
          <w:noProof/>
          <w:lang w:eastAsia="ja-JP"/>
        </w:rPr>
        <w:drawing>
          <wp:inline distT="0" distB="0" distL="0" distR="0" wp14:anchorId="28E6AB44" wp14:editId="0B12038D">
            <wp:extent cx="2821437" cy="2115271"/>
            <wp:effectExtent l="0" t="0" r="0" b="0"/>
            <wp:docPr id="5" name="Picture 4" descr="Chart, scatter chart&#10;&#10;Description automatically generated">
              <a:extLst xmlns:a="http://schemas.openxmlformats.org/drawingml/2006/main">
                <a:ext uri="{FF2B5EF4-FFF2-40B4-BE49-F238E27FC236}">
                  <a16:creationId xmlns:a16="http://schemas.microsoft.com/office/drawing/2014/main" id="{6541F825-34FC-4DBD-BD6D-60974ABA3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scatter chart&#10;&#10;Description automatically generated">
                      <a:extLst>
                        <a:ext uri="{FF2B5EF4-FFF2-40B4-BE49-F238E27FC236}">
                          <a16:creationId xmlns:a16="http://schemas.microsoft.com/office/drawing/2014/main" id="{6541F825-34FC-4DBD-BD6D-60974ABA3B74}"/>
                        </a:ext>
                      </a:extLst>
                    </pic:cNvPr>
                    <pic:cNvPicPr>
                      <a:picLocks noChangeAspect="1"/>
                    </pic:cNvPicPr>
                  </pic:nvPicPr>
                  <pic:blipFill>
                    <a:blip r:embed="rId26"/>
                    <a:stretch>
                      <a:fillRect/>
                    </a:stretch>
                  </pic:blipFill>
                  <pic:spPr>
                    <a:xfrm>
                      <a:off x="0" y="0"/>
                      <a:ext cx="2846632" cy="2134160"/>
                    </a:xfrm>
                    <a:prstGeom prst="rect">
                      <a:avLst/>
                    </a:prstGeom>
                  </pic:spPr>
                </pic:pic>
              </a:graphicData>
            </a:graphic>
          </wp:inline>
        </w:drawing>
      </w:r>
      <w:r>
        <w:rPr>
          <w:noProof/>
        </w:rPr>
        <w:drawing>
          <wp:inline distT="0" distB="0" distL="0" distR="0" wp14:anchorId="3B466FFB" wp14:editId="633335BA">
            <wp:extent cx="2836107" cy="2126271"/>
            <wp:effectExtent l="0" t="0" r="2540" b="7620"/>
            <wp:docPr id="1" name="Picture 6" descr="Chart&#10;&#10;Description automatically generated">
              <a:extLst xmlns:a="http://schemas.openxmlformats.org/drawingml/2006/main">
                <a:ext uri="{FF2B5EF4-FFF2-40B4-BE49-F238E27FC236}">
                  <a16:creationId xmlns:a16="http://schemas.microsoft.com/office/drawing/2014/main" id="{C9A54196-A389-4E56-9AA7-EB4F14B17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C9A54196-A389-4E56-9AA7-EB4F14B170B0}"/>
                        </a:ext>
                      </a:extLst>
                    </pic:cNvPr>
                    <pic:cNvPicPr>
                      <a:picLocks noChangeAspect="1"/>
                    </pic:cNvPicPr>
                  </pic:nvPicPr>
                  <pic:blipFill>
                    <a:blip r:embed="rId27"/>
                    <a:stretch>
                      <a:fillRect/>
                    </a:stretch>
                  </pic:blipFill>
                  <pic:spPr>
                    <a:xfrm>
                      <a:off x="0" y="0"/>
                      <a:ext cx="2854846" cy="2140320"/>
                    </a:xfrm>
                    <a:prstGeom prst="rect">
                      <a:avLst/>
                    </a:prstGeom>
                  </pic:spPr>
                </pic:pic>
              </a:graphicData>
            </a:graphic>
          </wp:inline>
        </w:drawing>
      </w:r>
    </w:p>
    <w:p w14:paraId="4264547C" w14:textId="1A6FBF6C" w:rsidR="001333A6" w:rsidRDefault="000F0D77" w:rsidP="000D3D9A">
      <w:pPr>
        <w:jc w:val="center"/>
        <w:rPr>
          <w:lang w:eastAsia="ja-JP"/>
        </w:rPr>
      </w:pPr>
      <w:r>
        <w:rPr>
          <w:noProof/>
        </w:rPr>
        <w:drawing>
          <wp:inline distT="0" distB="0" distL="0" distR="0" wp14:anchorId="23B21F36" wp14:editId="4D6C28F7">
            <wp:extent cx="2840997" cy="2129937"/>
            <wp:effectExtent l="0" t="0" r="0" b="3810"/>
            <wp:docPr id="9" name="Picture 8" descr="Chart, line chart&#10;&#10;Description automatically generated">
              <a:extLst xmlns:a="http://schemas.openxmlformats.org/drawingml/2006/main">
                <a:ext uri="{FF2B5EF4-FFF2-40B4-BE49-F238E27FC236}">
                  <a16:creationId xmlns:a16="http://schemas.microsoft.com/office/drawing/2014/main" id="{0968936A-5FDE-470D-8651-0EEA5EFE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968936A-5FDE-470D-8651-0EEA5EFE0C79}"/>
                        </a:ext>
                      </a:extLst>
                    </pic:cNvPr>
                    <pic:cNvPicPr>
                      <a:picLocks noChangeAspect="1"/>
                    </pic:cNvPicPr>
                  </pic:nvPicPr>
                  <pic:blipFill>
                    <a:blip r:embed="rId28"/>
                    <a:stretch>
                      <a:fillRect/>
                    </a:stretch>
                  </pic:blipFill>
                  <pic:spPr>
                    <a:xfrm>
                      <a:off x="0" y="0"/>
                      <a:ext cx="2853978" cy="2139669"/>
                    </a:xfrm>
                    <a:prstGeom prst="rect">
                      <a:avLst/>
                    </a:prstGeom>
                  </pic:spPr>
                </pic:pic>
              </a:graphicData>
            </a:graphic>
          </wp:inline>
        </w:drawing>
      </w:r>
      <w:r w:rsidR="00CD5235">
        <w:rPr>
          <w:noProof/>
        </w:rPr>
        <w:drawing>
          <wp:inline distT="0" distB="0" distL="0" distR="0" wp14:anchorId="4C0F56B8" wp14:editId="53CBB6BE">
            <wp:extent cx="2855666" cy="2141750"/>
            <wp:effectExtent l="0" t="0" r="1905" b="0"/>
            <wp:docPr id="4" name="Picture 3" descr="Chart, line chart&#10;&#10;Description automatically generated">
              <a:extLst xmlns:a="http://schemas.openxmlformats.org/drawingml/2006/main">
                <a:ext uri="{FF2B5EF4-FFF2-40B4-BE49-F238E27FC236}">
                  <a16:creationId xmlns:a16="http://schemas.microsoft.com/office/drawing/2014/main" id="{625C5423-90EE-4754-A895-AA2B91962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25C5423-90EE-4754-A895-AA2B91962460}"/>
                        </a:ext>
                      </a:extLst>
                    </pic:cNvPr>
                    <pic:cNvPicPr>
                      <a:picLocks noChangeAspect="1"/>
                    </pic:cNvPicPr>
                  </pic:nvPicPr>
                  <pic:blipFill>
                    <a:blip r:embed="rId29"/>
                    <a:stretch>
                      <a:fillRect/>
                    </a:stretch>
                  </pic:blipFill>
                  <pic:spPr>
                    <a:xfrm>
                      <a:off x="0" y="0"/>
                      <a:ext cx="2871537" cy="2153653"/>
                    </a:xfrm>
                    <a:prstGeom prst="rect">
                      <a:avLst/>
                    </a:prstGeom>
                  </pic:spPr>
                </pic:pic>
              </a:graphicData>
            </a:graphic>
          </wp:inline>
        </w:drawing>
      </w:r>
    </w:p>
    <w:p w14:paraId="6A1CF046" w14:textId="52DB5FDF" w:rsidR="000E7611" w:rsidRDefault="00BB0945" w:rsidP="00BB0945">
      <w:pPr>
        <w:spacing w:after="200"/>
        <w:jc w:val="center"/>
        <w:rPr>
          <w:b/>
          <w:iCs/>
          <w:szCs w:val="22"/>
        </w:rPr>
      </w:pPr>
      <w:r w:rsidRPr="00723189">
        <w:rPr>
          <w:b/>
          <w:iCs/>
          <w:szCs w:val="22"/>
        </w:rPr>
        <w:t>Figure</w:t>
      </w:r>
      <w:r>
        <w:rPr>
          <w:b/>
          <w:iCs/>
          <w:szCs w:val="22"/>
        </w:rPr>
        <w:t xml:space="preserve"> </w:t>
      </w:r>
      <w:r w:rsidR="00D22641">
        <w:rPr>
          <w:b/>
          <w:iCs/>
          <w:szCs w:val="22"/>
        </w:rPr>
        <w:t>8</w:t>
      </w:r>
      <w:r w:rsidRPr="00723189">
        <w:rPr>
          <w:b/>
          <w:iCs/>
          <w:szCs w:val="22"/>
        </w:rPr>
        <w:t xml:space="preserve">: </w:t>
      </w:r>
      <w:r w:rsidR="00177905">
        <w:rPr>
          <w:b/>
          <w:iCs/>
          <w:szCs w:val="22"/>
        </w:rPr>
        <w:t xml:space="preserve">Comparison of UE </w:t>
      </w:r>
      <w:r w:rsidR="001A4792">
        <w:rPr>
          <w:b/>
          <w:iCs/>
          <w:szCs w:val="22"/>
        </w:rPr>
        <w:t>Throughput</w:t>
      </w:r>
      <w:r w:rsidR="00177905">
        <w:rPr>
          <w:b/>
          <w:iCs/>
          <w:szCs w:val="22"/>
        </w:rPr>
        <w:t xml:space="preserve">, SNR, and </w:t>
      </w:r>
      <w:r w:rsidR="001A4792">
        <w:rPr>
          <w:b/>
          <w:iCs/>
          <w:szCs w:val="22"/>
        </w:rPr>
        <w:t xml:space="preserve">SINR </w:t>
      </w:r>
      <w:r w:rsidR="00177905">
        <w:rPr>
          <w:b/>
          <w:iCs/>
          <w:szCs w:val="22"/>
        </w:rPr>
        <w:t xml:space="preserve">for </w:t>
      </w:r>
      <w:r w:rsidR="001A4792">
        <w:rPr>
          <w:b/>
          <w:iCs/>
          <w:szCs w:val="22"/>
        </w:rPr>
        <w:t>with</w:t>
      </w:r>
      <w:r w:rsidR="00177905">
        <w:rPr>
          <w:b/>
          <w:iCs/>
          <w:szCs w:val="22"/>
        </w:rPr>
        <w:t>out</w:t>
      </w:r>
      <w:r w:rsidR="001A4792">
        <w:rPr>
          <w:b/>
          <w:iCs/>
          <w:szCs w:val="22"/>
        </w:rPr>
        <w:t xml:space="preserve"> and with MPE mitigation</w:t>
      </w:r>
    </w:p>
    <w:p w14:paraId="2CA57737" w14:textId="632BF4BF" w:rsidR="000E7611" w:rsidRPr="0052082E" w:rsidRDefault="000E7611" w:rsidP="0052082E">
      <w:pPr>
        <w:pStyle w:val="ListParagraph"/>
        <w:numPr>
          <w:ilvl w:val="0"/>
          <w:numId w:val="17"/>
        </w:numPr>
        <w:spacing w:after="200"/>
        <w:rPr>
          <w:rFonts w:ascii="Times New Roman" w:hAnsi="Times New Roman" w:cs="Times New Roman"/>
          <w:bCs/>
          <w:iCs/>
          <w:sz w:val="18"/>
          <w:szCs w:val="18"/>
        </w:rPr>
      </w:pPr>
      <w:r w:rsidRPr="0052082E">
        <w:rPr>
          <w:rFonts w:ascii="Times New Roman" w:hAnsi="Times New Roman" w:cs="Times New Roman"/>
          <w:bCs/>
          <w:iCs/>
          <w:sz w:val="18"/>
          <w:szCs w:val="18"/>
        </w:rPr>
        <w:t xml:space="preserve">alwaysBest </w:t>
      </w:r>
      <w:r w:rsidR="00B47BF5" w:rsidRPr="0052082E">
        <w:rPr>
          <w:rFonts w:ascii="Times New Roman" w:hAnsi="Times New Roman" w:cs="Times New Roman"/>
          <w:bCs/>
          <w:iCs/>
          <w:sz w:val="18"/>
          <w:szCs w:val="18"/>
        </w:rPr>
        <w:t xml:space="preserve">(green) </w:t>
      </w:r>
      <w:r w:rsidRPr="0052082E">
        <w:rPr>
          <w:rFonts w:ascii="Times New Roman" w:hAnsi="Times New Roman" w:cs="Times New Roman"/>
          <w:bCs/>
          <w:iCs/>
          <w:sz w:val="18"/>
          <w:szCs w:val="18"/>
        </w:rPr>
        <w:t xml:space="preserve">– </w:t>
      </w:r>
      <w:r w:rsidR="00E3395F" w:rsidRPr="0052082E">
        <w:rPr>
          <w:rFonts w:ascii="Times New Roman" w:hAnsi="Times New Roman" w:cs="Times New Roman"/>
          <w:bCs/>
          <w:iCs/>
          <w:sz w:val="18"/>
          <w:szCs w:val="18"/>
        </w:rPr>
        <w:t>B</w:t>
      </w:r>
      <w:r w:rsidRPr="0052082E">
        <w:rPr>
          <w:rFonts w:ascii="Times New Roman" w:hAnsi="Times New Roman" w:cs="Times New Roman"/>
          <w:bCs/>
          <w:iCs/>
          <w:sz w:val="18"/>
          <w:szCs w:val="18"/>
        </w:rPr>
        <w:t>est DL beam as UL beam</w:t>
      </w:r>
      <w:r w:rsidR="00177905" w:rsidRPr="0052082E">
        <w:rPr>
          <w:rFonts w:ascii="Times New Roman" w:hAnsi="Times New Roman" w:cs="Times New Roman"/>
          <w:bCs/>
          <w:iCs/>
          <w:sz w:val="18"/>
          <w:szCs w:val="18"/>
        </w:rPr>
        <w:t xml:space="preserve"> (</w:t>
      </w:r>
      <w:r w:rsidR="00177905" w:rsidRPr="002420E0">
        <w:rPr>
          <w:rFonts w:ascii="Times New Roman" w:hAnsi="Times New Roman" w:cs="Times New Roman"/>
          <w:bCs/>
          <w:iCs/>
          <w:color w:val="00B050"/>
          <w:sz w:val="18"/>
          <w:szCs w:val="18"/>
        </w:rPr>
        <w:t>without MPE mitigation</w:t>
      </w:r>
      <w:r w:rsidR="00177905" w:rsidRPr="0052082E">
        <w:rPr>
          <w:rFonts w:ascii="Times New Roman" w:hAnsi="Times New Roman" w:cs="Times New Roman"/>
          <w:bCs/>
          <w:iCs/>
          <w:sz w:val="18"/>
          <w:szCs w:val="18"/>
        </w:rPr>
        <w:t>)</w:t>
      </w:r>
    </w:p>
    <w:p w14:paraId="11672696" w14:textId="2E5AE02C" w:rsidR="000E7611" w:rsidRPr="0052082E" w:rsidRDefault="000E7611" w:rsidP="0052082E">
      <w:pPr>
        <w:pStyle w:val="ListParagraph"/>
        <w:numPr>
          <w:ilvl w:val="0"/>
          <w:numId w:val="17"/>
        </w:numPr>
        <w:spacing w:after="200"/>
        <w:rPr>
          <w:rFonts w:ascii="Times New Roman" w:hAnsi="Times New Roman" w:cs="Times New Roman"/>
          <w:bCs/>
          <w:iCs/>
          <w:sz w:val="18"/>
          <w:szCs w:val="18"/>
        </w:rPr>
      </w:pPr>
      <w:r w:rsidRPr="0052082E">
        <w:rPr>
          <w:rFonts w:ascii="Times New Roman" w:hAnsi="Times New Roman" w:cs="Times New Roman"/>
          <w:bCs/>
          <w:iCs/>
          <w:sz w:val="18"/>
          <w:szCs w:val="18"/>
        </w:rPr>
        <w:t xml:space="preserve">hybrid </w:t>
      </w:r>
      <w:r w:rsidR="00B47BF5" w:rsidRPr="0052082E">
        <w:rPr>
          <w:rFonts w:ascii="Times New Roman" w:hAnsi="Times New Roman" w:cs="Times New Roman"/>
          <w:bCs/>
          <w:iCs/>
          <w:sz w:val="18"/>
          <w:szCs w:val="18"/>
        </w:rPr>
        <w:t xml:space="preserve">(blue) </w:t>
      </w:r>
      <w:r w:rsidRPr="0052082E">
        <w:rPr>
          <w:rFonts w:ascii="Times New Roman" w:hAnsi="Times New Roman" w:cs="Times New Roman"/>
          <w:bCs/>
          <w:iCs/>
          <w:sz w:val="18"/>
          <w:szCs w:val="18"/>
        </w:rPr>
        <w:t xml:space="preserve">– </w:t>
      </w:r>
      <w:r w:rsidR="00E3395F" w:rsidRPr="0052082E">
        <w:rPr>
          <w:rFonts w:ascii="Times New Roman" w:hAnsi="Times New Roman" w:cs="Times New Roman"/>
          <w:bCs/>
          <w:iCs/>
          <w:sz w:val="18"/>
          <w:szCs w:val="18"/>
        </w:rPr>
        <w:t>B</w:t>
      </w:r>
      <w:r w:rsidRPr="0052082E">
        <w:rPr>
          <w:rFonts w:ascii="Times New Roman" w:hAnsi="Times New Roman" w:cs="Times New Roman"/>
          <w:bCs/>
          <w:iCs/>
          <w:sz w:val="18"/>
          <w:szCs w:val="18"/>
        </w:rPr>
        <w:t xml:space="preserve">est DL beam not suffering </w:t>
      </w:r>
      <w:r w:rsidR="00AC0B9D" w:rsidRPr="0052082E">
        <w:rPr>
          <w:rFonts w:ascii="Times New Roman" w:hAnsi="Times New Roman" w:cs="Times New Roman"/>
          <w:bCs/>
          <w:iCs/>
          <w:sz w:val="18"/>
          <w:szCs w:val="18"/>
        </w:rPr>
        <w:t>MPE</w:t>
      </w:r>
      <w:r w:rsidRPr="0052082E">
        <w:rPr>
          <w:rFonts w:ascii="Times New Roman" w:hAnsi="Times New Roman" w:cs="Times New Roman"/>
          <w:bCs/>
          <w:iCs/>
          <w:sz w:val="18"/>
          <w:szCs w:val="18"/>
        </w:rPr>
        <w:t xml:space="preserve"> as UL beam</w:t>
      </w:r>
      <w:r w:rsidR="00177905" w:rsidRPr="0052082E">
        <w:rPr>
          <w:rFonts w:ascii="Times New Roman" w:hAnsi="Times New Roman" w:cs="Times New Roman"/>
          <w:bCs/>
          <w:iCs/>
          <w:sz w:val="18"/>
          <w:szCs w:val="18"/>
        </w:rPr>
        <w:t xml:space="preserve"> (</w:t>
      </w:r>
      <w:r w:rsidR="00177905" w:rsidRPr="002420E0">
        <w:rPr>
          <w:rFonts w:ascii="Times New Roman" w:hAnsi="Times New Roman" w:cs="Times New Roman"/>
          <w:bCs/>
          <w:iCs/>
          <w:color w:val="00B0F0"/>
          <w:sz w:val="18"/>
          <w:szCs w:val="18"/>
        </w:rPr>
        <w:t>with MPE mitigation</w:t>
      </w:r>
      <w:r w:rsidR="00177905" w:rsidRPr="0052082E">
        <w:rPr>
          <w:rFonts w:ascii="Times New Roman" w:hAnsi="Times New Roman" w:cs="Times New Roman"/>
          <w:bCs/>
          <w:iCs/>
          <w:sz w:val="18"/>
          <w:szCs w:val="18"/>
        </w:rPr>
        <w:t>)</w:t>
      </w:r>
    </w:p>
    <w:p w14:paraId="2BC7E21E" w14:textId="35406986" w:rsidR="00776DD5" w:rsidRPr="00776DD5" w:rsidRDefault="000E7611" w:rsidP="00776DD5">
      <w:pPr>
        <w:pStyle w:val="ListParagraph"/>
        <w:numPr>
          <w:ilvl w:val="0"/>
          <w:numId w:val="17"/>
        </w:numPr>
        <w:spacing w:after="200"/>
        <w:rPr>
          <w:rFonts w:ascii="Times New Roman" w:hAnsi="Times New Roman" w:cs="Times New Roman"/>
          <w:bCs/>
          <w:iCs/>
          <w:sz w:val="18"/>
          <w:szCs w:val="18"/>
        </w:rPr>
      </w:pPr>
      <w:r w:rsidRPr="0052082E">
        <w:rPr>
          <w:rFonts w:ascii="Times New Roman" w:hAnsi="Times New Roman" w:cs="Times New Roman"/>
          <w:bCs/>
          <w:iCs/>
          <w:sz w:val="18"/>
          <w:szCs w:val="18"/>
        </w:rPr>
        <w:t xml:space="preserve">noMPE </w:t>
      </w:r>
      <w:r w:rsidR="00B47BF5" w:rsidRPr="0052082E">
        <w:rPr>
          <w:rFonts w:ascii="Times New Roman" w:hAnsi="Times New Roman" w:cs="Times New Roman"/>
          <w:bCs/>
          <w:iCs/>
          <w:sz w:val="18"/>
          <w:szCs w:val="18"/>
        </w:rPr>
        <w:t xml:space="preserve">(red) </w:t>
      </w:r>
      <w:r w:rsidRPr="0052082E">
        <w:rPr>
          <w:rFonts w:ascii="Times New Roman" w:hAnsi="Times New Roman" w:cs="Times New Roman"/>
          <w:bCs/>
          <w:iCs/>
          <w:sz w:val="18"/>
          <w:szCs w:val="18"/>
        </w:rPr>
        <w:t>– Same as Scheme 1 but without max UL power reduction</w:t>
      </w:r>
      <w:r w:rsidR="0091379F" w:rsidRPr="0052082E">
        <w:rPr>
          <w:rFonts w:ascii="Times New Roman" w:hAnsi="Times New Roman" w:cs="Times New Roman"/>
          <w:bCs/>
          <w:iCs/>
          <w:sz w:val="18"/>
          <w:szCs w:val="18"/>
        </w:rPr>
        <w:t xml:space="preserve"> (</w:t>
      </w:r>
      <w:r w:rsidR="0091379F" w:rsidRPr="002420E0">
        <w:rPr>
          <w:rFonts w:ascii="Times New Roman" w:hAnsi="Times New Roman" w:cs="Times New Roman"/>
          <w:bCs/>
          <w:iCs/>
          <w:color w:val="FF0000"/>
          <w:sz w:val="18"/>
          <w:szCs w:val="18"/>
        </w:rPr>
        <w:t>ideal reference</w:t>
      </w:r>
      <w:r w:rsidR="0091379F" w:rsidRPr="0052082E">
        <w:rPr>
          <w:rFonts w:ascii="Times New Roman" w:hAnsi="Times New Roman" w:cs="Times New Roman"/>
          <w:bCs/>
          <w:iCs/>
          <w:sz w:val="18"/>
          <w:szCs w:val="18"/>
        </w:rPr>
        <w:t>)</w:t>
      </w:r>
    </w:p>
    <w:p w14:paraId="496C68C5" w14:textId="1FDE807D" w:rsidR="00AD0416" w:rsidRDefault="00AD0416" w:rsidP="00AD0416">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9" w:name="_Hlk54342831"/>
      <w:r>
        <w:rPr>
          <w:rFonts w:ascii="Arial" w:eastAsiaTheme="minorEastAsia" w:hAnsi="Arial" w:cs="Arial"/>
          <w:sz w:val="32"/>
          <w:szCs w:val="32"/>
          <w:lang w:eastAsia="zh-CN"/>
        </w:rPr>
        <w:t xml:space="preserve">Issue </w:t>
      </w:r>
      <w:r w:rsidR="0060239A">
        <w:rPr>
          <w:rFonts w:ascii="Arial" w:eastAsiaTheme="minorEastAsia" w:hAnsi="Arial" w:cs="Arial"/>
          <w:sz w:val="32"/>
          <w:szCs w:val="32"/>
          <w:lang w:eastAsia="zh-CN"/>
        </w:rPr>
        <w:t>6</w:t>
      </w:r>
      <w:r>
        <w:rPr>
          <w:rFonts w:ascii="Arial" w:eastAsiaTheme="minorEastAsia" w:hAnsi="Arial" w:cs="Arial"/>
          <w:sz w:val="32"/>
          <w:szCs w:val="32"/>
          <w:lang w:eastAsia="zh-CN"/>
        </w:rPr>
        <w:t xml:space="preserve"> – </w:t>
      </w:r>
      <w:r w:rsidR="0060239A">
        <w:rPr>
          <w:rFonts w:ascii="Arial" w:eastAsiaTheme="minorEastAsia" w:hAnsi="Arial" w:cs="Arial"/>
          <w:sz w:val="32"/>
          <w:szCs w:val="32"/>
          <w:lang w:eastAsia="zh-CN"/>
        </w:rPr>
        <w:t>Beam Acquisition Latency Reduction</w:t>
      </w:r>
    </w:p>
    <w:p w14:paraId="1D18766C" w14:textId="58FE2075" w:rsidR="00281088" w:rsidRDefault="003F4EB3" w:rsidP="00281088">
      <w:pPr>
        <w:jc w:val="both"/>
      </w:pPr>
      <w:r>
        <w:t xml:space="preserve">In R15/16, the beam refinement can only be performed via L1 report after RRC setup complete, and the refined beam needs to be further activated by MAC-CE. As shown in Figure </w:t>
      </w:r>
      <w:r w:rsidR="00E549AA">
        <w:t>9</w:t>
      </w:r>
      <w:r>
        <w:t xml:space="preserve">, this requires at least about 144 slots. Before that time, the message exchange </w:t>
      </w:r>
      <w:proofErr w:type="gramStart"/>
      <w:r>
        <w:t>has to</w:t>
      </w:r>
      <w:proofErr w:type="gramEnd"/>
      <w:r>
        <w:t xml:space="preserve"> rely on the Msg3 beam, which may not be the best beam. </w:t>
      </w:r>
      <w:r w:rsidR="00227090">
        <w:t>In R17, the beam refinement can be sped up via reporting a better beam in Msg3, since UE may identify a better SSB</w:t>
      </w:r>
      <w:r>
        <w:t xml:space="preserve"> </w:t>
      </w:r>
      <w:r w:rsidR="00227090">
        <w:t xml:space="preserve">after Msg1. The refined beam can provide improved link quality for the remaining message exchange, which is critical for initial access latency reduction. </w:t>
      </w:r>
    </w:p>
    <w:p w14:paraId="37CC36C8" w14:textId="1921CB7A" w:rsidR="00227090" w:rsidRPr="00227090" w:rsidRDefault="00227090" w:rsidP="00227090">
      <w:pPr>
        <w:jc w:val="both"/>
        <w:rPr>
          <w:b/>
        </w:rPr>
      </w:pPr>
      <w:r w:rsidRPr="00227090">
        <w:rPr>
          <w:b/>
          <w:u w:val="single"/>
        </w:rPr>
        <w:t>Proposal 1</w:t>
      </w:r>
      <w:r w:rsidR="00B0413C">
        <w:rPr>
          <w:b/>
          <w:u w:val="single"/>
        </w:rPr>
        <w:t>9</w:t>
      </w:r>
      <w:r w:rsidRPr="00227090">
        <w:rPr>
          <w:b/>
        </w:rPr>
        <w:t xml:space="preserve">: </w:t>
      </w:r>
      <w:r w:rsidR="009A09F5">
        <w:rPr>
          <w:b/>
        </w:rPr>
        <w:t>Support UE to report a new beam in Msg3</w:t>
      </w:r>
      <w:r w:rsidR="007B110A">
        <w:rPr>
          <w:b/>
        </w:rPr>
        <w:t xml:space="preserve"> </w:t>
      </w:r>
      <w:r w:rsidR="001949EF">
        <w:rPr>
          <w:b/>
        </w:rPr>
        <w:t>During</w:t>
      </w:r>
      <w:r w:rsidR="007B110A">
        <w:rPr>
          <w:b/>
        </w:rPr>
        <w:t xml:space="preserve"> </w:t>
      </w:r>
      <w:r w:rsidR="001949EF">
        <w:rPr>
          <w:b/>
        </w:rPr>
        <w:t>Initial Access</w:t>
      </w:r>
      <w:r w:rsidRPr="00227090">
        <w:rPr>
          <w:b/>
        </w:rPr>
        <w:t>.</w:t>
      </w:r>
    </w:p>
    <w:bookmarkEnd w:id="9"/>
    <w:p w14:paraId="7BD2017D" w14:textId="305E59F1" w:rsidR="001333A6" w:rsidRDefault="001333A6" w:rsidP="00281088">
      <w:pPr>
        <w:jc w:val="both"/>
        <w:rPr>
          <w:lang w:eastAsia="ja-JP"/>
        </w:rPr>
      </w:pPr>
    </w:p>
    <w:p w14:paraId="0C36E8AA" w14:textId="2AFE54F0" w:rsidR="001333A6" w:rsidRDefault="00281088" w:rsidP="002E48BA">
      <w:pPr>
        <w:rPr>
          <w:lang w:eastAsia="ja-JP"/>
        </w:rPr>
      </w:pPr>
      <w:r>
        <w:rPr>
          <w:noProof/>
          <w:lang w:eastAsia="ja-JP"/>
        </w:rPr>
        <w:lastRenderedPageBreak/>
        <w:drawing>
          <wp:inline distT="0" distB="0" distL="0" distR="0" wp14:anchorId="457ED069" wp14:editId="7DDD5A15">
            <wp:extent cx="5999833" cy="2811662"/>
            <wp:effectExtent l="0" t="0" r="127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13258" cy="2817953"/>
                    </a:xfrm>
                    <a:prstGeom prst="rect">
                      <a:avLst/>
                    </a:prstGeom>
                    <a:noFill/>
                  </pic:spPr>
                </pic:pic>
              </a:graphicData>
            </a:graphic>
          </wp:inline>
        </w:drawing>
      </w:r>
    </w:p>
    <w:p w14:paraId="0BC9BFCC" w14:textId="3F940F6D" w:rsidR="00281088" w:rsidRPr="00544FF4" w:rsidRDefault="00281088" w:rsidP="00544FF4">
      <w:pPr>
        <w:spacing w:after="200"/>
        <w:jc w:val="center"/>
        <w:rPr>
          <w:b/>
          <w:iCs/>
          <w:szCs w:val="22"/>
        </w:rPr>
      </w:pPr>
      <w:r w:rsidRPr="00723189">
        <w:rPr>
          <w:b/>
          <w:iCs/>
          <w:szCs w:val="22"/>
        </w:rPr>
        <w:t>Figure</w:t>
      </w:r>
      <w:r>
        <w:rPr>
          <w:b/>
          <w:iCs/>
          <w:szCs w:val="22"/>
        </w:rPr>
        <w:t xml:space="preserve"> </w:t>
      </w:r>
      <w:r w:rsidR="00D22641">
        <w:rPr>
          <w:b/>
          <w:iCs/>
          <w:szCs w:val="22"/>
        </w:rPr>
        <w:t>9</w:t>
      </w:r>
      <w:r w:rsidRPr="00723189">
        <w:rPr>
          <w:b/>
          <w:iCs/>
          <w:szCs w:val="22"/>
        </w:rPr>
        <w:t xml:space="preserve">: </w:t>
      </w:r>
      <w:r w:rsidR="00737B82">
        <w:rPr>
          <w:b/>
          <w:iCs/>
          <w:szCs w:val="22"/>
        </w:rPr>
        <w:t>Early Beam Refinement via New Beam Report in Msg3</w:t>
      </w:r>
      <w:r w:rsidR="001949EF">
        <w:rPr>
          <w:b/>
          <w:iCs/>
          <w:szCs w:val="22"/>
        </w:rPr>
        <w:t xml:space="preserve"> During Initial Access</w:t>
      </w:r>
    </w:p>
    <w:p w14:paraId="47974C2B" w14:textId="00224EB6" w:rsidR="006C550A" w:rsidRDefault="006C550A" w:rsidP="006C550A">
      <w:pPr>
        <w:jc w:val="both"/>
      </w:pPr>
      <w:r>
        <w:t>In additional to the P1/P2/P3 procedure, another important factor affecting the beam tracking/refinement latency is the period of P1/P2/P3 measurement</w:t>
      </w:r>
      <w:r w:rsidR="006C084E">
        <w:t>/r</w:t>
      </w:r>
      <w:r>
        <w:t>eport, which ideally should be adapted to the beam changing rate to achieve a good trade-off between overhead and beam tracking/refinement performance. However, gNB may not quickly identify the variation of beam changing rate based on the measurement report. For example, suppose the P1 beam report period is 240 ms for a UE</w:t>
      </w:r>
      <w:r w:rsidR="00CA51A8">
        <w:t xml:space="preserve"> initially in slow movement</w:t>
      </w:r>
      <w:r>
        <w:t>.</w:t>
      </w:r>
      <w:r w:rsidR="00CA51A8">
        <w:t xml:space="preserve"> If the UE later transfers to high speed state, it may take gNB for multiple report cycles to realize the </w:t>
      </w:r>
      <w:r w:rsidR="004F7B47">
        <w:t>change of mobility</w:t>
      </w:r>
      <w:r w:rsidR="00CA51A8">
        <w:t xml:space="preserve"> state, and </w:t>
      </w:r>
      <w:r w:rsidR="004F7B47">
        <w:t xml:space="preserve">then </w:t>
      </w:r>
      <w:r w:rsidR="00CA51A8">
        <w:t>gradually adapts the reporting period to the optimal value</w:t>
      </w:r>
      <w:r w:rsidR="004F7B47">
        <w:t xml:space="preserve"> </w:t>
      </w:r>
      <w:r w:rsidR="00A62DBA">
        <w:t xml:space="preserve">potentially </w:t>
      </w:r>
      <w:r w:rsidR="004F7B47">
        <w:t>based on trial and error</w:t>
      </w:r>
      <w:r w:rsidR="00CA51A8">
        <w:t xml:space="preserve">. </w:t>
      </w:r>
      <w:r w:rsidR="00F92E5A">
        <w:t xml:space="preserve">The beam tracking/refinement </w:t>
      </w:r>
      <w:r w:rsidR="004F7B47">
        <w:t>period can be more quickly adapted</w:t>
      </w:r>
      <w:r w:rsidR="00F92E5A">
        <w:t xml:space="preserve"> via UE feedback of </w:t>
      </w:r>
      <w:r w:rsidR="004F7B47">
        <w:t xml:space="preserve">statistics on </w:t>
      </w:r>
      <w:r w:rsidR="00F92E5A">
        <w:t xml:space="preserve">the beam change rate or dwelling time. Specifically, UE can feed back the best SSB change rate to assist gNB for fast adaptation of the P1 reporting period. </w:t>
      </w:r>
      <w:r w:rsidR="00491A68">
        <w:t xml:space="preserve">The best SSB change rate can be measured by the SSBs </w:t>
      </w:r>
      <w:r w:rsidR="00491A68" w:rsidRPr="00491A68">
        <w:t xml:space="preserve">periodically transmitted </w:t>
      </w:r>
      <w:r w:rsidR="00491A68">
        <w:t xml:space="preserve">every 20 ms. For a given gNB P2 beam, UE can feed back the best UE Rx beam change rate to assist gNB to </w:t>
      </w:r>
      <w:r w:rsidR="00D81F9B">
        <w:t>optimize</w:t>
      </w:r>
      <w:r w:rsidR="00491A68">
        <w:t xml:space="preserve"> the P3 measurement period. UE can identify the change of best UE Rx beam via measuring CSI-RS or PDSCH DMRS </w:t>
      </w:r>
      <w:r w:rsidR="00712DD9" w:rsidRPr="00712DD9">
        <w:t xml:space="preserve">periodically transmitted </w:t>
      </w:r>
      <w:r w:rsidR="00915B2D">
        <w:t xml:space="preserve">from a given gNB P2 beam </w:t>
      </w:r>
      <w:r w:rsidR="00491A68">
        <w:t xml:space="preserve">by different UE Rx beams on different panels. </w:t>
      </w:r>
    </w:p>
    <w:p w14:paraId="22B0F5DF" w14:textId="03B4A39E" w:rsidR="006C550A" w:rsidRPr="00227090" w:rsidRDefault="006C550A" w:rsidP="006C550A">
      <w:pPr>
        <w:jc w:val="both"/>
        <w:rPr>
          <w:b/>
        </w:rPr>
      </w:pPr>
      <w:r w:rsidRPr="00227090">
        <w:rPr>
          <w:b/>
          <w:u w:val="single"/>
        </w:rPr>
        <w:t xml:space="preserve">Proposal </w:t>
      </w:r>
      <w:r w:rsidR="00B0413C">
        <w:rPr>
          <w:b/>
          <w:u w:val="single"/>
        </w:rPr>
        <w:t>20</w:t>
      </w:r>
      <w:r w:rsidRPr="00227090">
        <w:rPr>
          <w:b/>
        </w:rPr>
        <w:t xml:space="preserve">: </w:t>
      </w:r>
      <w:r w:rsidR="00DD4F90">
        <w:rPr>
          <w:b/>
        </w:rPr>
        <w:t>Support UE feedback of statistics on beam change rate or dwelling time to assist gNB to identify the optimal P1/P2/P3 measurement/report period.</w:t>
      </w:r>
    </w:p>
    <w:p w14:paraId="10312845" w14:textId="77777777" w:rsidR="0019442D" w:rsidRDefault="0019442D" w:rsidP="002E48BA">
      <w:pPr>
        <w:rPr>
          <w:lang w:eastAsia="ja-JP"/>
        </w:rPr>
      </w:pPr>
    </w:p>
    <w:bookmarkEnd w:id="6"/>
    <w:p w14:paraId="7DCAE90F" w14:textId="77777777" w:rsidR="002E629B" w:rsidRPr="002E629B" w:rsidRDefault="002E629B" w:rsidP="007226B3">
      <w:pPr>
        <w:keepNext/>
        <w:keepLines/>
        <w:numPr>
          <w:ilvl w:val="0"/>
          <w:numId w:val="16"/>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26C3F37" w:rsidR="002E629B" w:rsidRPr="002E629B" w:rsidRDefault="002E629B" w:rsidP="009304AC">
      <w:pPr>
        <w:jc w:val="both"/>
        <w:rPr>
          <w:lang w:eastAsia="zh-CN"/>
        </w:rPr>
      </w:pPr>
      <w:r w:rsidRPr="002E629B">
        <w:rPr>
          <w:lang w:eastAsia="zh-CN"/>
        </w:rPr>
        <w:t>In this contribution we discussed enhancements for Rel-1</w:t>
      </w:r>
      <w:r w:rsidR="00FD1492">
        <w:rPr>
          <w:lang w:eastAsia="zh-CN"/>
        </w:rPr>
        <w:t>7</w:t>
      </w:r>
      <w:r w:rsidRPr="002E629B">
        <w:rPr>
          <w:lang w:eastAsia="zh-CN"/>
        </w:rPr>
        <w:t xml:space="preserve"> NR </w:t>
      </w:r>
      <w:r w:rsidR="00FD1492">
        <w:rPr>
          <w:lang w:eastAsia="zh-CN"/>
        </w:rPr>
        <w:t>Fe</w:t>
      </w:r>
      <w:r w:rsidRPr="002E629B">
        <w:rPr>
          <w:lang w:eastAsia="zh-CN"/>
        </w:rPr>
        <w:t>MIMO beam management. Below are the observations and proposals</w:t>
      </w:r>
    </w:p>
    <w:p w14:paraId="3E71AFFE" w14:textId="7DB55351" w:rsidR="00C77792" w:rsidRPr="00173160" w:rsidRDefault="000731BD" w:rsidP="00C77792">
      <w:pPr>
        <w:jc w:val="both"/>
        <w:rPr>
          <w:b/>
          <w:lang w:eastAsia="ja-JP"/>
        </w:rPr>
      </w:pPr>
      <w:r w:rsidRPr="000731BD">
        <w:rPr>
          <w:b/>
          <w:u w:val="single"/>
          <w:lang w:eastAsia="ja-JP"/>
        </w:rPr>
        <w:t>Observation 1</w:t>
      </w:r>
      <w:r w:rsidRPr="000731BD">
        <w:rPr>
          <w:b/>
          <w:lang w:eastAsia="ja-JP"/>
        </w:rPr>
        <w:t>: It can be observed that the median RSRP difference between L1 and L3 based mobility is 18 and 20 dB for UE speed of 60 and 120 kmph, respectively.</w:t>
      </w:r>
    </w:p>
    <w:p w14:paraId="6D353F23" w14:textId="77777777" w:rsidR="00C77792" w:rsidRDefault="00C77792" w:rsidP="00C77792">
      <w:pPr>
        <w:jc w:val="both"/>
        <w:rPr>
          <w:b/>
          <w:lang w:eastAsia="ja-JP"/>
        </w:rPr>
      </w:pPr>
      <w:r>
        <w:rPr>
          <w:b/>
          <w:u w:val="single"/>
          <w:lang w:eastAsia="ja-JP"/>
        </w:rPr>
        <w:t>Observation 2</w:t>
      </w:r>
      <w:r w:rsidRPr="002E629B">
        <w:rPr>
          <w:b/>
          <w:lang w:eastAsia="ja-JP"/>
        </w:rPr>
        <w:t xml:space="preserve">: </w:t>
      </w:r>
      <w:r>
        <w:rPr>
          <w:b/>
          <w:lang w:eastAsia="ja-JP"/>
        </w:rPr>
        <w:t>Throughput improvement can be observed with MPE mitigation in dense urban scenario.</w:t>
      </w:r>
    </w:p>
    <w:p w14:paraId="2EC40D9D" w14:textId="77777777" w:rsidR="00C77792" w:rsidRPr="00A8329D" w:rsidRDefault="00C77792" w:rsidP="00C77792">
      <w:pPr>
        <w:pStyle w:val="ListParagraph"/>
        <w:numPr>
          <w:ilvl w:val="0"/>
          <w:numId w:val="12"/>
        </w:numPr>
        <w:jc w:val="both"/>
        <w:rPr>
          <w:rFonts w:ascii="Times New Roman" w:hAnsi="Times New Roman" w:cs="Times New Roman"/>
          <w:b/>
          <w:sz w:val="20"/>
          <w:szCs w:val="20"/>
          <w:lang w:eastAsia="ja-JP"/>
        </w:rPr>
      </w:pPr>
      <w:r w:rsidRPr="00A8329D">
        <w:rPr>
          <w:rFonts w:ascii="Times New Roman" w:hAnsi="Times New Roman" w:cs="Times New Roman"/>
          <w:b/>
          <w:sz w:val="20"/>
          <w:szCs w:val="20"/>
          <w:lang w:eastAsia="ja-JP"/>
        </w:rPr>
        <w:t>5%ile TPUT gain is 250%; mean UE TPUT gain is 63%</w:t>
      </w:r>
    </w:p>
    <w:p w14:paraId="324B0917" w14:textId="77777777" w:rsidR="00C77792" w:rsidRDefault="00C77792" w:rsidP="00C77792">
      <w:pPr>
        <w:jc w:val="both"/>
        <w:rPr>
          <w:b/>
        </w:rPr>
      </w:pPr>
    </w:p>
    <w:p w14:paraId="22186B40" w14:textId="77777777" w:rsidR="00C77792" w:rsidRDefault="00C77792" w:rsidP="00C77792">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 xml:space="preserve">Joint DL/UL TCI state can indicate both QCL source RS and </w:t>
      </w:r>
      <w:r w:rsidRPr="001B2C91">
        <w:rPr>
          <w:b/>
          <w:lang w:eastAsia="ja-JP"/>
        </w:rPr>
        <w:t>PL RS</w:t>
      </w:r>
      <w:r>
        <w:rPr>
          <w:b/>
          <w:lang w:eastAsia="ja-JP"/>
        </w:rPr>
        <w:t>.</w:t>
      </w:r>
    </w:p>
    <w:p w14:paraId="66F1E1FE" w14:textId="77777777" w:rsidR="00C77792" w:rsidRPr="00E32A91" w:rsidRDefault="00C77792" w:rsidP="00C77792">
      <w:pPr>
        <w:jc w:val="both"/>
        <w:rPr>
          <w:b/>
          <w:lang w:eastAsia="ja-JP"/>
        </w:rPr>
      </w:pPr>
      <w:r w:rsidRPr="002E629B">
        <w:rPr>
          <w:b/>
          <w:u w:val="single"/>
          <w:lang w:eastAsia="ja-JP"/>
        </w:rPr>
        <w:lastRenderedPageBreak/>
        <w:t xml:space="preserve">Proposal </w:t>
      </w:r>
      <w:r>
        <w:rPr>
          <w:b/>
          <w:u w:val="single"/>
          <w:lang w:eastAsia="ja-JP"/>
        </w:rPr>
        <w:t>2</w:t>
      </w:r>
      <w:r w:rsidRPr="002E629B">
        <w:rPr>
          <w:b/>
          <w:lang w:eastAsia="ja-JP"/>
        </w:rPr>
        <w:t xml:space="preserve">: </w:t>
      </w:r>
      <w:r>
        <w:rPr>
          <w:b/>
          <w:lang w:eastAsia="ja-JP"/>
        </w:rPr>
        <w:t xml:space="preserve">For PDSCH/PUSCH scheduled by DCI, </w:t>
      </w:r>
      <w:r w:rsidRPr="006F0AFA">
        <w:rPr>
          <w:b/>
          <w:lang w:eastAsia="ja-JP"/>
        </w:rPr>
        <w:t xml:space="preserve">MAC-CE can activate a subset of configured </w:t>
      </w:r>
      <w:r>
        <w:rPr>
          <w:b/>
          <w:lang w:eastAsia="ja-JP"/>
        </w:rPr>
        <w:t>joint DL/</w:t>
      </w:r>
      <w:r w:rsidRPr="006F0AFA">
        <w:rPr>
          <w:b/>
          <w:lang w:eastAsia="ja-JP"/>
        </w:rPr>
        <w:t xml:space="preserve">UL TCI states, and the scheduling DCI can indicate corresponding </w:t>
      </w:r>
      <w:r>
        <w:rPr>
          <w:b/>
          <w:lang w:eastAsia="ja-JP"/>
        </w:rPr>
        <w:t>joint</w:t>
      </w:r>
      <w:r w:rsidRPr="006F0AFA">
        <w:rPr>
          <w:b/>
          <w:lang w:eastAsia="ja-JP"/>
        </w:rPr>
        <w:t xml:space="preserve"> TCI codepoint</w:t>
      </w:r>
      <w:r>
        <w:rPr>
          <w:b/>
          <w:lang w:eastAsia="ja-JP"/>
        </w:rPr>
        <w:t>.</w:t>
      </w:r>
    </w:p>
    <w:p w14:paraId="54B6EE26" w14:textId="77777777" w:rsidR="00C77792" w:rsidRPr="00722BFA" w:rsidRDefault="00C77792" w:rsidP="00C77792">
      <w:pPr>
        <w:jc w:val="both"/>
        <w:rPr>
          <w:b/>
          <w:lang w:eastAsia="ja-JP"/>
        </w:rPr>
      </w:pPr>
      <w:r w:rsidRPr="00F94109">
        <w:rPr>
          <w:b/>
          <w:u w:val="single"/>
          <w:lang w:eastAsia="ja-JP"/>
        </w:rPr>
        <w:t xml:space="preserve">Proposal </w:t>
      </w:r>
      <w:r>
        <w:rPr>
          <w:b/>
          <w:u w:val="single"/>
          <w:lang w:eastAsia="ja-JP"/>
        </w:rPr>
        <w:t>3</w:t>
      </w:r>
      <w:r w:rsidRPr="00F94109">
        <w:rPr>
          <w:b/>
          <w:lang w:eastAsia="ja-JP"/>
        </w:rPr>
        <w:t>: Support simultaneous joint DL/UL TCI state activation across multiple CCs.</w:t>
      </w:r>
    </w:p>
    <w:p w14:paraId="57FFC467" w14:textId="77777777" w:rsidR="00C77792" w:rsidRPr="00435F6B" w:rsidRDefault="00C77792" w:rsidP="00C77792">
      <w:pPr>
        <w:jc w:val="both"/>
        <w:rPr>
          <w:b/>
          <w:lang w:eastAsia="ja-JP"/>
        </w:rPr>
      </w:pPr>
      <w:r w:rsidRPr="00435F6B">
        <w:rPr>
          <w:b/>
          <w:u w:val="single"/>
          <w:lang w:eastAsia="ja-JP"/>
        </w:rPr>
        <w:t xml:space="preserve">Proposal </w:t>
      </w:r>
      <w:r>
        <w:rPr>
          <w:b/>
          <w:u w:val="single"/>
          <w:lang w:eastAsia="ja-JP"/>
        </w:rPr>
        <w:t>4</w:t>
      </w:r>
      <w:r w:rsidRPr="00435F6B">
        <w:rPr>
          <w:b/>
          <w:lang w:eastAsia="ja-JP"/>
        </w:rPr>
        <w:t xml:space="preserve">: </w:t>
      </w:r>
      <w:r>
        <w:rPr>
          <w:b/>
          <w:lang w:eastAsia="ja-JP"/>
        </w:rPr>
        <w:t>Joint DL/UL TCI state can indicate</w:t>
      </w:r>
      <w:r w:rsidRPr="00435F6B">
        <w:rPr>
          <w:b/>
          <w:lang w:eastAsia="ja-JP"/>
        </w:rPr>
        <w:t xml:space="preserve"> default PDSCH beam.</w:t>
      </w:r>
    </w:p>
    <w:p w14:paraId="4E33E499" w14:textId="77777777" w:rsidR="00C77792" w:rsidRDefault="00C77792" w:rsidP="00C77792">
      <w:pPr>
        <w:jc w:val="both"/>
        <w:rPr>
          <w:b/>
          <w:lang w:eastAsia="ja-JP"/>
        </w:rPr>
      </w:pPr>
      <w:r w:rsidRPr="002E629B">
        <w:rPr>
          <w:b/>
          <w:u w:val="single"/>
          <w:lang w:eastAsia="ja-JP"/>
        </w:rPr>
        <w:t xml:space="preserve">Proposal </w:t>
      </w:r>
      <w:r>
        <w:rPr>
          <w:b/>
          <w:u w:val="single"/>
          <w:lang w:eastAsia="ja-JP"/>
        </w:rPr>
        <w:t>5</w:t>
      </w:r>
      <w:r w:rsidRPr="002E629B">
        <w:rPr>
          <w:b/>
          <w:lang w:eastAsia="ja-JP"/>
        </w:rPr>
        <w:t xml:space="preserve">: </w:t>
      </w:r>
      <w:r>
        <w:rPr>
          <w:b/>
          <w:lang w:eastAsia="ja-JP"/>
        </w:rPr>
        <w:t>Joint DL/UL TCI state of periodic CSI-RS and SRS can be updated by MAC-CE or DCI.</w:t>
      </w:r>
    </w:p>
    <w:p w14:paraId="4D46BF5C" w14:textId="77777777" w:rsidR="00C77792" w:rsidRDefault="00C77792" w:rsidP="00C77792">
      <w:pPr>
        <w:jc w:val="both"/>
        <w:rPr>
          <w:b/>
          <w:lang w:eastAsia="ja-JP"/>
        </w:rPr>
      </w:pPr>
      <w:r w:rsidRPr="002E629B">
        <w:rPr>
          <w:b/>
          <w:u w:val="single"/>
          <w:lang w:eastAsia="ja-JP"/>
        </w:rPr>
        <w:t xml:space="preserve">Proposal </w:t>
      </w:r>
      <w:r>
        <w:rPr>
          <w:b/>
          <w:u w:val="single"/>
          <w:lang w:eastAsia="ja-JP"/>
        </w:rPr>
        <w:t>6</w:t>
      </w:r>
      <w:r w:rsidRPr="002E629B">
        <w:rPr>
          <w:b/>
          <w:lang w:eastAsia="ja-JP"/>
        </w:rPr>
        <w:t xml:space="preserve">: </w:t>
      </w:r>
      <w:r>
        <w:rPr>
          <w:b/>
          <w:lang w:eastAsia="ja-JP"/>
        </w:rPr>
        <w:t>For CB/NCB based PUSCH, scheduling DCI should indicate corresponding TPMI/TRI/SRI in or together with the joint DL/UL TCI state.</w:t>
      </w:r>
    </w:p>
    <w:p w14:paraId="0FDF1062" w14:textId="50AD4833" w:rsidR="00C77792" w:rsidRDefault="00C77792" w:rsidP="002E629B">
      <w:r w:rsidRPr="002E629B">
        <w:rPr>
          <w:b/>
          <w:u w:val="single"/>
          <w:lang w:eastAsia="ja-JP"/>
        </w:rPr>
        <w:t xml:space="preserve">Proposal </w:t>
      </w:r>
      <w:r>
        <w:rPr>
          <w:b/>
          <w:u w:val="single"/>
          <w:lang w:eastAsia="ja-JP"/>
        </w:rPr>
        <w:t>7</w:t>
      </w:r>
      <w:r w:rsidRPr="002E629B">
        <w:rPr>
          <w:b/>
          <w:lang w:eastAsia="ja-JP"/>
        </w:rPr>
        <w:t>:</w:t>
      </w:r>
      <w:r>
        <w:rPr>
          <w:b/>
          <w:lang w:eastAsia="ja-JP"/>
        </w:rPr>
        <w:t xml:space="preserve"> gNB should enable either joint DL/UL TCI state or spatial relation for UL beam indication.</w:t>
      </w:r>
    </w:p>
    <w:p w14:paraId="7832278F" w14:textId="58AC82C1" w:rsidR="00C77792" w:rsidRDefault="00C77792" w:rsidP="00C77792">
      <w:pPr>
        <w:jc w:val="both"/>
        <w:rPr>
          <w:b/>
        </w:rPr>
      </w:pPr>
      <w:r w:rsidRPr="002A12F7">
        <w:rPr>
          <w:b/>
          <w:u w:val="single"/>
        </w:rPr>
        <w:t xml:space="preserve">Proposal </w:t>
      </w:r>
      <w:r>
        <w:rPr>
          <w:b/>
          <w:u w:val="single"/>
        </w:rPr>
        <w:t>8</w:t>
      </w:r>
      <w:r w:rsidRPr="002A12F7">
        <w:rPr>
          <w:b/>
        </w:rPr>
        <w:t>: Support a common beam selected for a group of UEs.</w:t>
      </w:r>
    </w:p>
    <w:p w14:paraId="6D210C50" w14:textId="0BB1AAAE" w:rsidR="00A74B08" w:rsidRPr="002A12F7" w:rsidRDefault="00A74B08" w:rsidP="00C77792">
      <w:pPr>
        <w:jc w:val="both"/>
        <w:rPr>
          <w:b/>
        </w:rPr>
      </w:pPr>
      <w:r w:rsidRPr="002A12F7">
        <w:rPr>
          <w:b/>
          <w:u w:val="single"/>
        </w:rPr>
        <w:t xml:space="preserve">Proposal </w:t>
      </w:r>
      <w:r>
        <w:rPr>
          <w:b/>
          <w:u w:val="single"/>
        </w:rPr>
        <w:t>9</w:t>
      </w:r>
      <w:r w:rsidRPr="002A12F7">
        <w:rPr>
          <w:b/>
        </w:rPr>
        <w:t xml:space="preserve">: Support </w:t>
      </w:r>
      <w:r>
        <w:rPr>
          <w:b/>
        </w:rPr>
        <w:t>implicit update of a common beam via L1 report</w:t>
      </w:r>
      <w:r w:rsidRPr="002A12F7">
        <w:rPr>
          <w:b/>
        </w:rPr>
        <w:t>.</w:t>
      </w:r>
    </w:p>
    <w:p w14:paraId="12C676E6" w14:textId="34222FA4" w:rsidR="00C77792" w:rsidRPr="00ED0C7A" w:rsidRDefault="00C77792" w:rsidP="00C77792">
      <w:pPr>
        <w:jc w:val="both"/>
        <w:rPr>
          <w:b/>
          <w:lang w:eastAsia="ja-JP"/>
        </w:rPr>
      </w:pPr>
      <w:r w:rsidRPr="002E629B">
        <w:rPr>
          <w:b/>
          <w:u w:val="single"/>
          <w:lang w:eastAsia="ja-JP"/>
        </w:rPr>
        <w:t xml:space="preserve">Proposal </w:t>
      </w:r>
      <w:r w:rsidR="00A74B08">
        <w:rPr>
          <w:b/>
          <w:u w:val="single"/>
          <w:lang w:eastAsia="ja-JP"/>
        </w:rPr>
        <w:t>10</w:t>
      </w:r>
      <w:r w:rsidRPr="002E629B">
        <w:rPr>
          <w:b/>
          <w:lang w:eastAsia="ja-JP"/>
        </w:rPr>
        <w:t xml:space="preserve">: </w:t>
      </w:r>
      <w:r>
        <w:rPr>
          <w:b/>
          <w:lang w:eastAsia="ja-JP"/>
        </w:rPr>
        <w:t>Support TCI state with QCL source as SSB from non-serving PCI.</w:t>
      </w:r>
    </w:p>
    <w:p w14:paraId="4B7187D3" w14:textId="416AA62F" w:rsidR="00C77792" w:rsidRPr="00DA4FF4" w:rsidRDefault="00C77792" w:rsidP="00C77792">
      <w:pPr>
        <w:jc w:val="both"/>
        <w:rPr>
          <w:b/>
          <w:lang w:eastAsia="ja-JP"/>
        </w:rPr>
      </w:pPr>
      <w:r w:rsidRPr="002E629B">
        <w:rPr>
          <w:b/>
          <w:u w:val="single"/>
          <w:lang w:eastAsia="ja-JP"/>
        </w:rPr>
        <w:t xml:space="preserve">Proposal </w:t>
      </w:r>
      <w:r>
        <w:rPr>
          <w:b/>
          <w:u w:val="single"/>
          <w:lang w:eastAsia="ja-JP"/>
        </w:rPr>
        <w:t>1</w:t>
      </w:r>
      <w:r w:rsidR="00A74B08">
        <w:rPr>
          <w:b/>
          <w:u w:val="single"/>
          <w:lang w:eastAsia="ja-JP"/>
        </w:rPr>
        <w:t>1</w:t>
      </w:r>
      <w:r w:rsidRPr="002E629B">
        <w:rPr>
          <w:b/>
          <w:lang w:eastAsia="ja-JP"/>
        </w:rPr>
        <w:t xml:space="preserve">: </w:t>
      </w:r>
      <w:r>
        <w:rPr>
          <w:b/>
          <w:lang w:eastAsia="ja-JP"/>
        </w:rPr>
        <w:t>Support updating timing advance for non-serving cell or PCI.</w:t>
      </w:r>
    </w:p>
    <w:p w14:paraId="0785798A" w14:textId="56922371" w:rsidR="00C77792" w:rsidRPr="00173160" w:rsidRDefault="00C77792" w:rsidP="00C77792">
      <w:pPr>
        <w:jc w:val="both"/>
        <w:rPr>
          <w:b/>
          <w:lang w:eastAsia="ja-JP"/>
        </w:rPr>
      </w:pPr>
      <w:r w:rsidRPr="002E629B">
        <w:rPr>
          <w:b/>
          <w:u w:val="single"/>
          <w:lang w:eastAsia="ja-JP"/>
        </w:rPr>
        <w:t xml:space="preserve">Proposal </w:t>
      </w:r>
      <w:r>
        <w:rPr>
          <w:b/>
          <w:u w:val="single"/>
          <w:lang w:eastAsia="ja-JP"/>
        </w:rPr>
        <w:t>1</w:t>
      </w:r>
      <w:r w:rsidR="00A74B08">
        <w:rPr>
          <w:b/>
          <w:u w:val="single"/>
          <w:lang w:eastAsia="ja-JP"/>
        </w:rPr>
        <w:t>2</w:t>
      </w:r>
      <w:r w:rsidRPr="002E629B">
        <w:rPr>
          <w:b/>
          <w:lang w:eastAsia="ja-JP"/>
        </w:rPr>
        <w:t xml:space="preserve">: </w:t>
      </w:r>
      <w:r>
        <w:rPr>
          <w:b/>
          <w:lang w:eastAsia="ja-JP"/>
        </w:rPr>
        <w:t>Support L1/L2 based selection of serving cell(s), including PCell.</w:t>
      </w:r>
    </w:p>
    <w:p w14:paraId="269467FE" w14:textId="59A9E67B" w:rsidR="00C77792" w:rsidRDefault="00C77792" w:rsidP="00C77792">
      <w:pPr>
        <w:jc w:val="both"/>
        <w:rPr>
          <w:b/>
          <w:lang w:eastAsia="ja-JP"/>
        </w:rPr>
      </w:pPr>
      <w:r w:rsidRPr="002E629B">
        <w:rPr>
          <w:b/>
          <w:u w:val="single"/>
          <w:lang w:eastAsia="ja-JP"/>
        </w:rPr>
        <w:t xml:space="preserve">Proposal </w:t>
      </w:r>
      <w:r>
        <w:rPr>
          <w:b/>
          <w:u w:val="single"/>
          <w:lang w:eastAsia="ja-JP"/>
        </w:rPr>
        <w:t>1</w:t>
      </w:r>
      <w:r w:rsidR="00A74B08">
        <w:rPr>
          <w:b/>
          <w:u w:val="single"/>
          <w:lang w:eastAsia="ja-JP"/>
        </w:rPr>
        <w:t>3</w:t>
      </w:r>
      <w:r w:rsidRPr="002E629B">
        <w:rPr>
          <w:b/>
          <w:lang w:eastAsia="ja-JP"/>
        </w:rPr>
        <w:t xml:space="preserve">: </w:t>
      </w:r>
      <w:r>
        <w:rPr>
          <w:b/>
          <w:lang w:eastAsia="ja-JP"/>
        </w:rPr>
        <w:t xml:space="preserve">A set of </w:t>
      </w:r>
      <w:proofErr w:type="gramStart"/>
      <w:r>
        <w:rPr>
          <w:b/>
          <w:lang w:eastAsia="ja-JP"/>
        </w:rPr>
        <w:t>candidate</w:t>
      </w:r>
      <w:proofErr w:type="gramEnd"/>
      <w:r>
        <w:rPr>
          <w:b/>
          <w:lang w:eastAsia="ja-JP"/>
        </w:rPr>
        <w:t xml:space="preserve"> serving cells can be pre-configured for L1 measurement, based on which a subset of pre-configured cells can be dynamically activated by L1/L2.</w:t>
      </w:r>
    </w:p>
    <w:p w14:paraId="118AF5AB" w14:textId="18CA6E8A" w:rsidR="00C77792" w:rsidRPr="00C0166C" w:rsidRDefault="00C77792" w:rsidP="00C77792">
      <w:pPr>
        <w:jc w:val="both"/>
        <w:rPr>
          <w:b/>
          <w:lang w:eastAsia="ja-JP"/>
        </w:rPr>
      </w:pPr>
      <w:r w:rsidRPr="002E629B">
        <w:rPr>
          <w:b/>
          <w:u w:val="single"/>
          <w:lang w:eastAsia="ja-JP"/>
        </w:rPr>
        <w:t xml:space="preserve">Proposal </w:t>
      </w:r>
      <w:r>
        <w:rPr>
          <w:b/>
          <w:u w:val="single"/>
          <w:lang w:eastAsia="ja-JP"/>
        </w:rPr>
        <w:t>1</w:t>
      </w:r>
      <w:r w:rsidR="00A74B08">
        <w:rPr>
          <w:b/>
          <w:u w:val="single"/>
          <w:lang w:eastAsia="ja-JP"/>
        </w:rPr>
        <w:t>4</w:t>
      </w:r>
      <w:r w:rsidRPr="002E629B">
        <w:rPr>
          <w:b/>
          <w:lang w:eastAsia="ja-JP"/>
        </w:rPr>
        <w:t xml:space="preserve">: </w:t>
      </w:r>
      <w:r>
        <w:rPr>
          <w:b/>
          <w:lang w:eastAsia="ja-JP"/>
        </w:rPr>
        <w:t>Support unified DCI based beam update for all channels, including PDCCH.</w:t>
      </w:r>
    </w:p>
    <w:p w14:paraId="50886150" w14:textId="2D4BE6A7" w:rsidR="00C77792" w:rsidRPr="00C0166C" w:rsidRDefault="00C77792" w:rsidP="00C77792">
      <w:pPr>
        <w:jc w:val="both"/>
        <w:rPr>
          <w:b/>
          <w:lang w:eastAsia="ja-JP"/>
        </w:rPr>
      </w:pPr>
      <w:r w:rsidRPr="002E629B">
        <w:rPr>
          <w:b/>
          <w:u w:val="single"/>
          <w:lang w:eastAsia="ja-JP"/>
        </w:rPr>
        <w:t xml:space="preserve">Proposal </w:t>
      </w:r>
      <w:r>
        <w:rPr>
          <w:b/>
          <w:u w:val="single"/>
          <w:lang w:eastAsia="ja-JP"/>
        </w:rPr>
        <w:t>1</w:t>
      </w:r>
      <w:r w:rsidR="00A74B08">
        <w:rPr>
          <w:b/>
          <w:u w:val="single"/>
          <w:lang w:eastAsia="ja-JP"/>
        </w:rPr>
        <w:t>5</w:t>
      </w:r>
      <w:r w:rsidRPr="002E629B">
        <w:rPr>
          <w:b/>
          <w:lang w:eastAsia="ja-JP"/>
        </w:rPr>
        <w:t xml:space="preserve">: </w:t>
      </w:r>
      <w:r>
        <w:rPr>
          <w:b/>
          <w:lang w:eastAsia="ja-JP"/>
        </w:rPr>
        <w:t>No explicit panel ID at least for R17.</w:t>
      </w:r>
    </w:p>
    <w:p w14:paraId="6ED51DA1" w14:textId="4AAAC159" w:rsidR="00C77792" w:rsidRDefault="00C77792" w:rsidP="00C77792">
      <w:pPr>
        <w:jc w:val="both"/>
        <w:rPr>
          <w:lang w:val="en-US"/>
        </w:rPr>
      </w:pPr>
      <w:r w:rsidRPr="00F12689">
        <w:rPr>
          <w:b/>
          <w:u w:val="single"/>
        </w:rPr>
        <w:t xml:space="preserve">Proposal </w:t>
      </w:r>
      <w:r>
        <w:rPr>
          <w:b/>
          <w:u w:val="single"/>
        </w:rPr>
        <w:t>1</w:t>
      </w:r>
      <w:r w:rsidR="00A74B08">
        <w:rPr>
          <w:b/>
          <w:u w:val="single"/>
        </w:rPr>
        <w:t>6</w:t>
      </w:r>
      <w:r w:rsidRPr="002E629B">
        <w:rPr>
          <w:b/>
          <w:u w:val="single"/>
        </w:rPr>
        <w:t>:</w:t>
      </w:r>
      <w:r w:rsidRPr="002E629B">
        <w:rPr>
          <w:b/>
        </w:rPr>
        <w:t xml:space="preserve"> </w:t>
      </w:r>
      <w:r w:rsidRPr="000C0364">
        <w:rPr>
          <w:b/>
        </w:rPr>
        <w:t xml:space="preserve">Support UE to report </w:t>
      </w:r>
      <w:r>
        <w:rPr>
          <w:b/>
        </w:rPr>
        <w:t xml:space="preserve">preferred </w:t>
      </w:r>
      <w:r w:rsidRPr="000C0364">
        <w:rPr>
          <w:b/>
        </w:rPr>
        <w:t xml:space="preserve">CRI/SSBRI for </w:t>
      </w:r>
      <w:r>
        <w:rPr>
          <w:b/>
        </w:rPr>
        <w:t xml:space="preserve">DL and </w:t>
      </w:r>
      <w:r w:rsidRPr="000C0364">
        <w:rPr>
          <w:b/>
        </w:rPr>
        <w:t>UL transmission</w:t>
      </w:r>
      <w:r>
        <w:rPr>
          <w:b/>
        </w:rPr>
        <w:t>s, separately</w:t>
      </w:r>
      <w:r>
        <w:t>.</w:t>
      </w:r>
    </w:p>
    <w:p w14:paraId="59389D3F" w14:textId="3FDB9F26" w:rsidR="00C77792" w:rsidRDefault="00C77792" w:rsidP="00C77792">
      <w:pPr>
        <w:jc w:val="both"/>
        <w:rPr>
          <w:b/>
        </w:rPr>
      </w:pPr>
      <w:r w:rsidRPr="00F12689">
        <w:rPr>
          <w:b/>
          <w:u w:val="single"/>
        </w:rPr>
        <w:t xml:space="preserve">Proposal </w:t>
      </w:r>
      <w:r>
        <w:rPr>
          <w:b/>
          <w:u w:val="single"/>
        </w:rPr>
        <w:t>1</w:t>
      </w:r>
      <w:r w:rsidR="00D76875">
        <w:rPr>
          <w:b/>
          <w:u w:val="single"/>
        </w:rPr>
        <w:t>7</w:t>
      </w:r>
      <w:r w:rsidRPr="002E629B">
        <w:rPr>
          <w:b/>
          <w:u w:val="single"/>
        </w:rPr>
        <w:t>:</w:t>
      </w:r>
      <w:r w:rsidRPr="002E629B">
        <w:rPr>
          <w:b/>
        </w:rPr>
        <w:t xml:space="preserve"> </w:t>
      </w:r>
      <w:r w:rsidRPr="000C0364">
        <w:rPr>
          <w:b/>
        </w:rPr>
        <w:t xml:space="preserve">Support </w:t>
      </w:r>
      <w:r>
        <w:rPr>
          <w:b/>
        </w:rPr>
        <w:t>UE to report UL beam failure due to MPE issue.</w:t>
      </w:r>
    </w:p>
    <w:p w14:paraId="6BF5561F" w14:textId="77777777" w:rsidR="00C77792" w:rsidRPr="00A2175B" w:rsidRDefault="00C77792" w:rsidP="00C77792">
      <w:pPr>
        <w:pStyle w:val="ListParagraph"/>
        <w:numPr>
          <w:ilvl w:val="0"/>
          <w:numId w:val="12"/>
        </w:numPr>
        <w:spacing w:after="180"/>
      </w:pPr>
      <w:r>
        <w:rPr>
          <w:rFonts w:ascii="Times New Roman" w:eastAsia="Times New Roman" w:hAnsi="Times New Roman" w:cs="Times New Roman"/>
          <w:b/>
          <w:sz w:val="20"/>
          <w:szCs w:val="20"/>
        </w:rPr>
        <w:t>The Rel-15/16 BFR procedure can be a reference for the MPE reporting procedure.</w:t>
      </w:r>
    </w:p>
    <w:p w14:paraId="1C98C9D1" w14:textId="1A3FE2A7" w:rsidR="00C77792" w:rsidRDefault="00C77792" w:rsidP="00C77792">
      <w:pPr>
        <w:jc w:val="both"/>
        <w:rPr>
          <w:b/>
        </w:rPr>
      </w:pPr>
      <w:r w:rsidRPr="00F12689">
        <w:rPr>
          <w:b/>
          <w:u w:val="single"/>
        </w:rPr>
        <w:t xml:space="preserve">Proposal </w:t>
      </w:r>
      <w:r>
        <w:rPr>
          <w:b/>
          <w:u w:val="single"/>
        </w:rPr>
        <w:t>1</w:t>
      </w:r>
      <w:r w:rsidR="00D76875">
        <w:rPr>
          <w:b/>
          <w:u w:val="single"/>
        </w:rPr>
        <w:t>8</w:t>
      </w:r>
      <w:r w:rsidRPr="002E629B">
        <w:rPr>
          <w:b/>
          <w:u w:val="single"/>
        </w:rPr>
        <w:t>:</w:t>
      </w:r>
      <w:r w:rsidRPr="002E629B">
        <w:rPr>
          <w:b/>
        </w:rPr>
        <w:t xml:space="preserve"> </w:t>
      </w:r>
      <w:r>
        <w:rPr>
          <w:b/>
        </w:rPr>
        <w:t>The condition for UE to trigger MPE report should be specified.</w:t>
      </w:r>
    </w:p>
    <w:p w14:paraId="397DCB3D" w14:textId="74852B33" w:rsidR="00C77792" w:rsidRPr="00227090" w:rsidRDefault="00C77792" w:rsidP="00C77792">
      <w:pPr>
        <w:jc w:val="both"/>
        <w:rPr>
          <w:b/>
        </w:rPr>
      </w:pPr>
      <w:r w:rsidRPr="00227090">
        <w:rPr>
          <w:b/>
          <w:u w:val="single"/>
        </w:rPr>
        <w:t>Proposal 1</w:t>
      </w:r>
      <w:r w:rsidR="00D76875">
        <w:rPr>
          <w:b/>
          <w:u w:val="single"/>
        </w:rPr>
        <w:t>9</w:t>
      </w:r>
      <w:r w:rsidRPr="00227090">
        <w:rPr>
          <w:b/>
        </w:rPr>
        <w:t xml:space="preserve">: </w:t>
      </w:r>
      <w:r>
        <w:rPr>
          <w:b/>
        </w:rPr>
        <w:t>Support UE to report a new beam in Msg3 During Initial Access</w:t>
      </w:r>
      <w:r w:rsidRPr="00227090">
        <w:rPr>
          <w:b/>
        </w:rPr>
        <w:t>.</w:t>
      </w:r>
    </w:p>
    <w:p w14:paraId="60AAD895" w14:textId="77777777" w:rsidR="00D76875" w:rsidRPr="00227090" w:rsidRDefault="00D76875" w:rsidP="00D76875">
      <w:pPr>
        <w:jc w:val="both"/>
        <w:rPr>
          <w:b/>
        </w:rPr>
      </w:pPr>
      <w:r w:rsidRPr="00227090">
        <w:rPr>
          <w:b/>
          <w:u w:val="single"/>
        </w:rPr>
        <w:t xml:space="preserve">Proposal </w:t>
      </w:r>
      <w:r>
        <w:rPr>
          <w:b/>
          <w:u w:val="single"/>
        </w:rPr>
        <w:t>20</w:t>
      </w:r>
      <w:r w:rsidRPr="00227090">
        <w:rPr>
          <w:b/>
        </w:rPr>
        <w:t xml:space="preserve">: </w:t>
      </w:r>
      <w:r>
        <w:rPr>
          <w:b/>
        </w:rPr>
        <w:t>Support UE feedback of statistics on beam change rate or dwelling time to assist gNB to identify the optimal P1/P2/P3 measurement/report period.</w:t>
      </w:r>
    </w:p>
    <w:p w14:paraId="1C547929" w14:textId="77777777" w:rsidR="00C77792" w:rsidRPr="002E629B" w:rsidRDefault="00C77792" w:rsidP="002E629B"/>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7C747E88" w14:textId="046FD159" w:rsidR="005A52C7" w:rsidRDefault="009A0245" w:rsidP="0018736E">
      <w:pPr>
        <w:numPr>
          <w:ilvl w:val="0"/>
          <w:numId w:val="2"/>
        </w:numPr>
        <w:spacing w:after="0"/>
        <w:rPr>
          <w:rFonts w:eastAsia="PMingLiU"/>
          <w:lang w:val="en-US"/>
        </w:rPr>
      </w:pPr>
      <w:r>
        <w:rPr>
          <w:rFonts w:eastAsia="PMingLiU"/>
          <w:lang w:val="en-US"/>
        </w:rPr>
        <w:t>R1-2007151 R17 ReMIMO EVM final</w:t>
      </w:r>
    </w:p>
    <w:p w14:paraId="50BEED84" w14:textId="77777777" w:rsidR="0018736E" w:rsidRPr="0018736E" w:rsidRDefault="0018736E" w:rsidP="0018736E">
      <w:pPr>
        <w:spacing w:after="0"/>
        <w:ind w:left="360"/>
        <w:rPr>
          <w:rFonts w:eastAsia="PMingLiU"/>
          <w:lang w:val="en-US"/>
        </w:rPr>
      </w:pPr>
    </w:p>
    <w:sectPr w:rsidR="0018736E" w:rsidRPr="0018736E" w:rsidSect="00F510BE">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94BF" w16cex:dateUtc="2020-10-23T0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98E47" w14:textId="77777777" w:rsidR="001006FE" w:rsidRDefault="001006FE" w:rsidP="00CB4000">
      <w:pPr>
        <w:spacing w:after="0"/>
      </w:pPr>
      <w:r>
        <w:separator/>
      </w:r>
    </w:p>
  </w:endnote>
  <w:endnote w:type="continuationSeparator" w:id="0">
    <w:p w14:paraId="5D21FF86" w14:textId="77777777" w:rsidR="001006FE" w:rsidRDefault="001006FE" w:rsidP="00CB4000">
      <w:pPr>
        <w:spacing w:after="0"/>
      </w:pPr>
      <w:r>
        <w:continuationSeparator/>
      </w:r>
    </w:p>
  </w:endnote>
  <w:endnote w:type="continuationNotice" w:id="1">
    <w:p w14:paraId="534E393A" w14:textId="77777777" w:rsidR="001006FE" w:rsidRDefault="00100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31C27" w14:textId="77777777" w:rsidR="00D654CB" w:rsidRDefault="00D65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195" w14:textId="77777777" w:rsidR="00D654CB" w:rsidRDefault="00D65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8A582" w14:textId="77777777" w:rsidR="001006FE" w:rsidRDefault="001006FE" w:rsidP="00CB4000">
      <w:pPr>
        <w:spacing w:after="0"/>
      </w:pPr>
      <w:r>
        <w:separator/>
      </w:r>
    </w:p>
  </w:footnote>
  <w:footnote w:type="continuationSeparator" w:id="0">
    <w:p w14:paraId="26F83082" w14:textId="77777777" w:rsidR="001006FE" w:rsidRDefault="001006FE" w:rsidP="00CB4000">
      <w:pPr>
        <w:spacing w:after="0"/>
      </w:pPr>
      <w:r>
        <w:continuationSeparator/>
      </w:r>
    </w:p>
  </w:footnote>
  <w:footnote w:type="continuationNotice" w:id="1">
    <w:p w14:paraId="6341B6CF" w14:textId="77777777" w:rsidR="001006FE" w:rsidRDefault="00100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B0F6" w14:textId="77777777" w:rsidR="00D654CB" w:rsidRDefault="00D65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9DCAF" w14:textId="77777777" w:rsidR="00D654CB" w:rsidRDefault="00D65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7830C" w14:textId="77777777" w:rsidR="00D654CB" w:rsidRDefault="00D65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0402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9"/>
  </w:num>
  <w:num w:numId="3">
    <w:abstractNumId w:val="8"/>
  </w:num>
  <w:num w:numId="4">
    <w:abstractNumId w:val="5"/>
  </w:num>
  <w:num w:numId="5">
    <w:abstractNumId w:val="1"/>
  </w:num>
  <w:num w:numId="6">
    <w:abstractNumId w:val="13"/>
  </w:num>
  <w:num w:numId="7">
    <w:abstractNumId w:val="6"/>
  </w:num>
  <w:num w:numId="8">
    <w:abstractNumId w:val="12"/>
  </w:num>
  <w:num w:numId="9">
    <w:abstractNumId w:val="7"/>
  </w:num>
  <w:num w:numId="10">
    <w:abstractNumId w:val="11"/>
  </w:num>
  <w:num w:numId="11">
    <w:abstractNumId w:val="2"/>
  </w:num>
  <w:num w:numId="12">
    <w:abstractNumId w:val="0"/>
  </w:num>
  <w:num w:numId="13">
    <w:abstractNumId w:val="10"/>
  </w:num>
  <w:num w:numId="14">
    <w:abstractNumId w:val="4"/>
    <w:lvlOverride w:ilvl="0"/>
    <w:lvlOverride w:ilvl="1">
      <w:startOverride w:val="1"/>
    </w:lvlOverride>
    <w:lvlOverride w:ilvl="2"/>
    <w:lvlOverride w:ilvl="3"/>
    <w:lvlOverride w:ilvl="4"/>
    <w:lvlOverride w:ilvl="5"/>
    <w:lvlOverride w:ilvl="6"/>
    <w:lvlOverride w:ilvl="7"/>
    <w:lvlOverride w:ilvl="8"/>
  </w:num>
  <w:num w:numId="15">
    <w:abstractNumId w:val="4"/>
  </w:num>
  <w:num w:numId="16">
    <w:abstractNumId w:val="3"/>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3385"/>
    <w:rsid w:val="00063D9E"/>
    <w:rsid w:val="000640C3"/>
    <w:rsid w:val="00064417"/>
    <w:rsid w:val="000650A0"/>
    <w:rsid w:val="000653A2"/>
    <w:rsid w:val="00065736"/>
    <w:rsid w:val="00065D76"/>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611"/>
    <w:rsid w:val="000A6E95"/>
    <w:rsid w:val="000A6F3F"/>
    <w:rsid w:val="000A77D1"/>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12E9"/>
    <w:rsid w:val="000E1434"/>
    <w:rsid w:val="000E15BA"/>
    <w:rsid w:val="000E20C4"/>
    <w:rsid w:val="000E26DC"/>
    <w:rsid w:val="000E3248"/>
    <w:rsid w:val="000E359A"/>
    <w:rsid w:val="000E3708"/>
    <w:rsid w:val="000E3C23"/>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59C"/>
    <w:rsid w:val="000F3052"/>
    <w:rsid w:val="000F3841"/>
    <w:rsid w:val="000F3D8E"/>
    <w:rsid w:val="000F4161"/>
    <w:rsid w:val="000F42A6"/>
    <w:rsid w:val="000F5B1A"/>
    <w:rsid w:val="000F5DFC"/>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50A8"/>
    <w:rsid w:val="00125309"/>
    <w:rsid w:val="00125AB7"/>
    <w:rsid w:val="001262AF"/>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A94"/>
    <w:rsid w:val="00145B24"/>
    <w:rsid w:val="00145FF1"/>
    <w:rsid w:val="0014608B"/>
    <w:rsid w:val="001461A3"/>
    <w:rsid w:val="001462C9"/>
    <w:rsid w:val="00146A0B"/>
    <w:rsid w:val="00146A81"/>
    <w:rsid w:val="001475E6"/>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734"/>
    <w:rsid w:val="001918B5"/>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D5B"/>
    <w:rsid w:val="001A15D3"/>
    <w:rsid w:val="001A1979"/>
    <w:rsid w:val="001A1F6D"/>
    <w:rsid w:val="001A2ABD"/>
    <w:rsid w:val="001A321D"/>
    <w:rsid w:val="001A3918"/>
    <w:rsid w:val="001A3AC8"/>
    <w:rsid w:val="001A3B0F"/>
    <w:rsid w:val="001A429D"/>
    <w:rsid w:val="001A4792"/>
    <w:rsid w:val="001A5A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5037"/>
    <w:rsid w:val="001D576A"/>
    <w:rsid w:val="001D5915"/>
    <w:rsid w:val="001D6BD2"/>
    <w:rsid w:val="001D791D"/>
    <w:rsid w:val="001E0E1B"/>
    <w:rsid w:val="001E16F1"/>
    <w:rsid w:val="001E1704"/>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FDC"/>
    <w:rsid w:val="0023406C"/>
    <w:rsid w:val="00234841"/>
    <w:rsid w:val="00234F0C"/>
    <w:rsid w:val="002350E7"/>
    <w:rsid w:val="00235131"/>
    <w:rsid w:val="00235B97"/>
    <w:rsid w:val="00235D22"/>
    <w:rsid w:val="00236315"/>
    <w:rsid w:val="00236D33"/>
    <w:rsid w:val="00240386"/>
    <w:rsid w:val="002405C3"/>
    <w:rsid w:val="0024077E"/>
    <w:rsid w:val="0024118D"/>
    <w:rsid w:val="002420E0"/>
    <w:rsid w:val="00242659"/>
    <w:rsid w:val="00242F15"/>
    <w:rsid w:val="00243B9B"/>
    <w:rsid w:val="00243C99"/>
    <w:rsid w:val="0024578D"/>
    <w:rsid w:val="00245919"/>
    <w:rsid w:val="00245BAE"/>
    <w:rsid w:val="00245DD1"/>
    <w:rsid w:val="0024657C"/>
    <w:rsid w:val="00246983"/>
    <w:rsid w:val="00246ABC"/>
    <w:rsid w:val="00247E88"/>
    <w:rsid w:val="00251652"/>
    <w:rsid w:val="00251FAE"/>
    <w:rsid w:val="00252671"/>
    <w:rsid w:val="002528C4"/>
    <w:rsid w:val="00252980"/>
    <w:rsid w:val="002529BE"/>
    <w:rsid w:val="00252D50"/>
    <w:rsid w:val="00253032"/>
    <w:rsid w:val="0025352F"/>
    <w:rsid w:val="0025380D"/>
    <w:rsid w:val="00253A7B"/>
    <w:rsid w:val="00253D9A"/>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D6D"/>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2DC"/>
    <w:rsid w:val="002B56AD"/>
    <w:rsid w:val="002B5CCA"/>
    <w:rsid w:val="002B5E32"/>
    <w:rsid w:val="002B646F"/>
    <w:rsid w:val="002B741C"/>
    <w:rsid w:val="002B7516"/>
    <w:rsid w:val="002B75B3"/>
    <w:rsid w:val="002C0083"/>
    <w:rsid w:val="002C02F3"/>
    <w:rsid w:val="002C0B97"/>
    <w:rsid w:val="002C11FB"/>
    <w:rsid w:val="002C1D0D"/>
    <w:rsid w:val="002C2777"/>
    <w:rsid w:val="002C2CA1"/>
    <w:rsid w:val="002C314D"/>
    <w:rsid w:val="002C3539"/>
    <w:rsid w:val="002C3BF4"/>
    <w:rsid w:val="002C56C1"/>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48BA"/>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3AF"/>
    <w:rsid w:val="002F4FF9"/>
    <w:rsid w:val="002F5178"/>
    <w:rsid w:val="002F5210"/>
    <w:rsid w:val="002F5267"/>
    <w:rsid w:val="002F5DDB"/>
    <w:rsid w:val="002F648F"/>
    <w:rsid w:val="002F7415"/>
    <w:rsid w:val="002F7AF1"/>
    <w:rsid w:val="002F7B62"/>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4DB1"/>
    <w:rsid w:val="00314DD3"/>
    <w:rsid w:val="00314E86"/>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54"/>
    <w:rsid w:val="00333935"/>
    <w:rsid w:val="003343F8"/>
    <w:rsid w:val="003347D9"/>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921"/>
    <w:rsid w:val="00347B82"/>
    <w:rsid w:val="00347E7A"/>
    <w:rsid w:val="00350398"/>
    <w:rsid w:val="00350C10"/>
    <w:rsid w:val="0035104B"/>
    <w:rsid w:val="0035194B"/>
    <w:rsid w:val="00351EBC"/>
    <w:rsid w:val="00352DD7"/>
    <w:rsid w:val="003537B6"/>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54CD"/>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46E7"/>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0DC3"/>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B0A"/>
    <w:rsid w:val="0047713C"/>
    <w:rsid w:val="004800CC"/>
    <w:rsid w:val="004804BE"/>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18C7"/>
    <w:rsid w:val="00491A68"/>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4A3F"/>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D48"/>
    <w:rsid w:val="004C6EDC"/>
    <w:rsid w:val="004C7689"/>
    <w:rsid w:val="004C76F3"/>
    <w:rsid w:val="004C7727"/>
    <w:rsid w:val="004D02BF"/>
    <w:rsid w:val="004D0E46"/>
    <w:rsid w:val="004D0F40"/>
    <w:rsid w:val="004D126E"/>
    <w:rsid w:val="004D1715"/>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5D49"/>
    <w:rsid w:val="005161FC"/>
    <w:rsid w:val="0051643C"/>
    <w:rsid w:val="005164FF"/>
    <w:rsid w:val="00516AE7"/>
    <w:rsid w:val="00516FA8"/>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74C5"/>
    <w:rsid w:val="00527519"/>
    <w:rsid w:val="00527561"/>
    <w:rsid w:val="00527E99"/>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DFF"/>
    <w:rsid w:val="00543317"/>
    <w:rsid w:val="00543CC7"/>
    <w:rsid w:val="00543D1F"/>
    <w:rsid w:val="00544FF4"/>
    <w:rsid w:val="00545433"/>
    <w:rsid w:val="005457D0"/>
    <w:rsid w:val="00545EAA"/>
    <w:rsid w:val="00545F58"/>
    <w:rsid w:val="005460B7"/>
    <w:rsid w:val="0054620C"/>
    <w:rsid w:val="005466E2"/>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602C9"/>
    <w:rsid w:val="0056091F"/>
    <w:rsid w:val="0056092A"/>
    <w:rsid w:val="00560FEC"/>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552"/>
    <w:rsid w:val="00583C8F"/>
    <w:rsid w:val="005840DB"/>
    <w:rsid w:val="00584D80"/>
    <w:rsid w:val="005854EA"/>
    <w:rsid w:val="00585C3A"/>
    <w:rsid w:val="00586AC6"/>
    <w:rsid w:val="00586C04"/>
    <w:rsid w:val="00586E2D"/>
    <w:rsid w:val="0058761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F18"/>
    <w:rsid w:val="0062100B"/>
    <w:rsid w:val="006225B3"/>
    <w:rsid w:val="0062264E"/>
    <w:rsid w:val="0062325A"/>
    <w:rsid w:val="00623873"/>
    <w:rsid w:val="006239C4"/>
    <w:rsid w:val="006241CD"/>
    <w:rsid w:val="00624C40"/>
    <w:rsid w:val="006253D4"/>
    <w:rsid w:val="00626662"/>
    <w:rsid w:val="00627801"/>
    <w:rsid w:val="00632B13"/>
    <w:rsid w:val="00632C76"/>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89A"/>
    <w:rsid w:val="006B0D54"/>
    <w:rsid w:val="006B132F"/>
    <w:rsid w:val="006B29E9"/>
    <w:rsid w:val="006B3A98"/>
    <w:rsid w:val="006B3C72"/>
    <w:rsid w:val="006B4070"/>
    <w:rsid w:val="006B4C22"/>
    <w:rsid w:val="006B4D39"/>
    <w:rsid w:val="006B4DF9"/>
    <w:rsid w:val="006B53C3"/>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AFA"/>
    <w:rsid w:val="006F1546"/>
    <w:rsid w:val="006F1794"/>
    <w:rsid w:val="006F222D"/>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5F4E"/>
    <w:rsid w:val="007263FA"/>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92"/>
    <w:rsid w:val="007756FB"/>
    <w:rsid w:val="007759C0"/>
    <w:rsid w:val="00775CAF"/>
    <w:rsid w:val="00776180"/>
    <w:rsid w:val="00776DD5"/>
    <w:rsid w:val="00777147"/>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316F"/>
    <w:rsid w:val="007E427E"/>
    <w:rsid w:val="007E47E6"/>
    <w:rsid w:val="007E6A6D"/>
    <w:rsid w:val="007E72E5"/>
    <w:rsid w:val="007E7F27"/>
    <w:rsid w:val="007F001B"/>
    <w:rsid w:val="007F07BD"/>
    <w:rsid w:val="007F126D"/>
    <w:rsid w:val="007F2020"/>
    <w:rsid w:val="007F3269"/>
    <w:rsid w:val="007F3C7B"/>
    <w:rsid w:val="007F3DDF"/>
    <w:rsid w:val="007F668C"/>
    <w:rsid w:val="007F69A6"/>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028C"/>
    <w:rsid w:val="00830B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496A"/>
    <w:rsid w:val="00846054"/>
    <w:rsid w:val="008462B5"/>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2307"/>
    <w:rsid w:val="00892465"/>
    <w:rsid w:val="00892F83"/>
    <w:rsid w:val="008941A1"/>
    <w:rsid w:val="008943CC"/>
    <w:rsid w:val="00894E3A"/>
    <w:rsid w:val="008958BF"/>
    <w:rsid w:val="008959AC"/>
    <w:rsid w:val="00896AC0"/>
    <w:rsid w:val="008973A2"/>
    <w:rsid w:val="008A003F"/>
    <w:rsid w:val="008A065E"/>
    <w:rsid w:val="008A2102"/>
    <w:rsid w:val="008A298C"/>
    <w:rsid w:val="008A37E1"/>
    <w:rsid w:val="008A38A6"/>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A74"/>
    <w:rsid w:val="008C6AC9"/>
    <w:rsid w:val="008C6B08"/>
    <w:rsid w:val="008C6D8C"/>
    <w:rsid w:val="008C6F5E"/>
    <w:rsid w:val="008C7D26"/>
    <w:rsid w:val="008C7EB5"/>
    <w:rsid w:val="008D015F"/>
    <w:rsid w:val="008D0C3E"/>
    <w:rsid w:val="008D0EEC"/>
    <w:rsid w:val="008D1CEE"/>
    <w:rsid w:val="008D28D7"/>
    <w:rsid w:val="008D2D07"/>
    <w:rsid w:val="008D47AD"/>
    <w:rsid w:val="008D5503"/>
    <w:rsid w:val="008D5AE7"/>
    <w:rsid w:val="008D5C62"/>
    <w:rsid w:val="008D7CDC"/>
    <w:rsid w:val="008D7CF1"/>
    <w:rsid w:val="008E08C6"/>
    <w:rsid w:val="008E10E9"/>
    <w:rsid w:val="008E2633"/>
    <w:rsid w:val="008E270F"/>
    <w:rsid w:val="008E2EF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DB"/>
    <w:rsid w:val="00927BAE"/>
    <w:rsid w:val="00930222"/>
    <w:rsid w:val="0093047D"/>
    <w:rsid w:val="009304AC"/>
    <w:rsid w:val="0093055B"/>
    <w:rsid w:val="0093123D"/>
    <w:rsid w:val="0093137E"/>
    <w:rsid w:val="00931A93"/>
    <w:rsid w:val="0093242F"/>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6698"/>
    <w:rsid w:val="00966B64"/>
    <w:rsid w:val="00966C21"/>
    <w:rsid w:val="0096719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6904"/>
    <w:rsid w:val="00997785"/>
    <w:rsid w:val="009A0245"/>
    <w:rsid w:val="009A09F5"/>
    <w:rsid w:val="009A0A1D"/>
    <w:rsid w:val="009A0B6D"/>
    <w:rsid w:val="009A1FDC"/>
    <w:rsid w:val="009A23A5"/>
    <w:rsid w:val="009A270D"/>
    <w:rsid w:val="009A2A75"/>
    <w:rsid w:val="009A2DEF"/>
    <w:rsid w:val="009A34A2"/>
    <w:rsid w:val="009A3B7D"/>
    <w:rsid w:val="009A400F"/>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6106"/>
    <w:rsid w:val="009B63E9"/>
    <w:rsid w:val="009C1FEF"/>
    <w:rsid w:val="009C2279"/>
    <w:rsid w:val="009C2797"/>
    <w:rsid w:val="009C2854"/>
    <w:rsid w:val="009C3B90"/>
    <w:rsid w:val="009C3DA3"/>
    <w:rsid w:val="009C46D7"/>
    <w:rsid w:val="009C56B6"/>
    <w:rsid w:val="009C56EC"/>
    <w:rsid w:val="009C693C"/>
    <w:rsid w:val="009C6A58"/>
    <w:rsid w:val="009C6E6F"/>
    <w:rsid w:val="009D0E30"/>
    <w:rsid w:val="009D1941"/>
    <w:rsid w:val="009D208C"/>
    <w:rsid w:val="009D238F"/>
    <w:rsid w:val="009D25D0"/>
    <w:rsid w:val="009D281E"/>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1181"/>
    <w:rsid w:val="00A21263"/>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9FD"/>
    <w:rsid w:val="00A37155"/>
    <w:rsid w:val="00A372AE"/>
    <w:rsid w:val="00A37B56"/>
    <w:rsid w:val="00A40FBE"/>
    <w:rsid w:val="00A418A1"/>
    <w:rsid w:val="00A41D18"/>
    <w:rsid w:val="00A42383"/>
    <w:rsid w:val="00A42DED"/>
    <w:rsid w:val="00A433AA"/>
    <w:rsid w:val="00A4413C"/>
    <w:rsid w:val="00A448F6"/>
    <w:rsid w:val="00A44BB8"/>
    <w:rsid w:val="00A44C11"/>
    <w:rsid w:val="00A454D4"/>
    <w:rsid w:val="00A457FD"/>
    <w:rsid w:val="00A45A11"/>
    <w:rsid w:val="00A465BC"/>
    <w:rsid w:val="00A47BFE"/>
    <w:rsid w:val="00A50364"/>
    <w:rsid w:val="00A507F0"/>
    <w:rsid w:val="00A50AD2"/>
    <w:rsid w:val="00A50FED"/>
    <w:rsid w:val="00A51821"/>
    <w:rsid w:val="00A51988"/>
    <w:rsid w:val="00A51B3D"/>
    <w:rsid w:val="00A52638"/>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5DE9"/>
    <w:rsid w:val="00A660AB"/>
    <w:rsid w:val="00A667C4"/>
    <w:rsid w:val="00A669D1"/>
    <w:rsid w:val="00A66F25"/>
    <w:rsid w:val="00A714C2"/>
    <w:rsid w:val="00A71601"/>
    <w:rsid w:val="00A7171B"/>
    <w:rsid w:val="00A71735"/>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D58"/>
    <w:rsid w:val="00AD0F02"/>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816"/>
    <w:rsid w:val="00AF7CB3"/>
    <w:rsid w:val="00B0060D"/>
    <w:rsid w:val="00B00AD6"/>
    <w:rsid w:val="00B00C2F"/>
    <w:rsid w:val="00B01486"/>
    <w:rsid w:val="00B01DB3"/>
    <w:rsid w:val="00B01F95"/>
    <w:rsid w:val="00B034B9"/>
    <w:rsid w:val="00B036D0"/>
    <w:rsid w:val="00B04091"/>
    <w:rsid w:val="00B0413C"/>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F64"/>
    <w:rsid w:val="00B53CB2"/>
    <w:rsid w:val="00B54691"/>
    <w:rsid w:val="00B54E78"/>
    <w:rsid w:val="00B56FA7"/>
    <w:rsid w:val="00B572FF"/>
    <w:rsid w:val="00B57338"/>
    <w:rsid w:val="00B57F5E"/>
    <w:rsid w:val="00B60442"/>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3B8A"/>
    <w:rsid w:val="00B746E5"/>
    <w:rsid w:val="00B749B3"/>
    <w:rsid w:val="00B74D0E"/>
    <w:rsid w:val="00B756C3"/>
    <w:rsid w:val="00B76100"/>
    <w:rsid w:val="00B7635A"/>
    <w:rsid w:val="00B764F2"/>
    <w:rsid w:val="00B76655"/>
    <w:rsid w:val="00B779D7"/>
    <w:rsid w:val="00B80598"/>
    <w:rsid w:val="00B80B5F"/>
    <w:rsid w:val="00B80D8D"/>
    <w:rsid w:val="00B81220"/>
    <w:rsid w:val="00B822C0"/>
    <w:rsid w:val="00B84EDE"/>
    <w:rsid w:val="00B8543A"/>
    <w:rsid w:val="00B85F49"/>
    <w:rsid w:val="00B86139"/>
    <w:rsid w:val="00B863D2"/>
    <w:rsid w:val="00B869E7"/>
    <w:rsid w:val="00B86C05"/>
    <w:rsid w:val="00B877A3"/>
    <w:rsid w:val="00B87CB1"/>
    <w:rsid w:val="00B9022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673"/>
    <w:rsid w:val="00BB4BA3"/>
    <w:rsid w:val="00BB4BEC"/>
    <w:rsid w:val="00BB5FE9"/>
    <w:rsid w:val="00BB6488"/>
    <w:rsid w:val="00BB6887"/>
    <w:rsid w:val="00BB68EE"/>
    <w:rsid w:val="00BB78EB"/>
    <w:rsid w:val="00BC085F"/>
    <w:rsid w:val="00BC0E99"/>
    <w:rsid w:val="00BC11B4"/>
    <w:rsid w:val="00BC2158"/>
    <w:rsid w:val="00BC36CE"/>
    <w:rsid w:val="00BC3E96"/>
    <w:rsid w:val="00BC401A"/>
    <w:rsid w:val="00BC4916"/>
    <w:rsid w:val="00BC5736"/>
    <w:rsid w:val="00BC5B77"/>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0A1B"/>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49F6"/>
    <w:rsid w:val="00C251A5"/>
    <w:rsid w:val="00C25526"/>
    <w:rsid w:val="00C26638"/>
    <w:rsid w:val="00C277B4"/>
    <w:rsid w:val="00C27EEC"/>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7B1"/>
    <w:rsid w:val="00C858F5"/>
    <w:rsid w:val="00C85A5C"/>
    <w:rsid w:val="00C85E30"/>
    <w:rsid w:val="00C86429"/>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6BB6"/>
    <w:rsid w:val="00C96C85"/>
    <w:rsid w:val="00C97002"/>
    <w:rsid w:val="00C97F64"/>
    <w:rsid w:val="00CA00FE"/>
    <w:rsid w:val="00CA05C9"/>
    <w:rsid w:val="00CA06AB"/>
    <w:rsid w:val="00CA1038"/>
    <w:rsid w:val="00CA140D"/>
    <w:rsid w:val="00CA1FF7"/>
    <w:rsid w:val="00CA25C0"/>
    <w:rsid w:val="00CA28F6"/>
    <w:rsid w:val="00CA2FF3"/>
    <w:rsid w:val="00CA3DD8"/>
    <w:rsid w:val="00CA51A8"/>
    <w:rsid w:val="00CA555F"/>
    <w:rsid w:val="00CA6096"/>
    <w:rsid w:val="00CA6C56"/>
    <w:rsid w:val="00CA7907"/>
    <w:rsid w:val="00CA7F4E"/>
    <w:rsid w:val="00CB0985"/>
    <w:rsid w:val="00CB0E51"/>
    <w:rsid w:val="00CB0EBC"/>
    <w:rsid w:val="00CB0F23"/>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F026D"/>
    <w:rsid w:val="00CF102D"/>
    <w:rsid w:val="00CF12AE"/>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D00111"/>
    <w:rsid w:val="00D00511"/>
    <w:rsid w:val="00D00F0B"/>
    <w:rsid w:val="00D021BC"/>
    <w:rsid w:val="00D02AB2"/>
    <w:rsid w:val="00D02C32"/>
    <w:rsid w:val="00D031B1"/>
    <w:rsid w:val="00D03812"/>
    <w:rsid w:val="00D03DBB"/>
    <w:rsid w:val="00D04279"/>
    <w:rsid w:val="00D04337"/>
    <w:rsid w:val="00D053E1"/>
    <w:rsid w:val="00D05B51"/>
    <w:rsid w:val="00D061AB"/>
    <w:rsid w:val="00D0623B"/>
    <w:rsid w:val="00D0664E"/>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4337"/>
    <w:rsid w:val="00D44CA2"/>
    <w:rsid w:val="00D4510C"/>
    <w:rsid w:val="00D4652D"/>
    <w:rsid w:val="00D46553"/>
    <w:rsid w:val="00D4660C"/>
    <w:rsid w:val="00D468E6"/>
    <w:rsid w:val="00D4700C"/>
    <w:rsid w:val="00D4706E"/>
    <w:rsid w:val="00D471A9"/>
    <w:rsid w:val="00D471FD"/>
    <w:rsid w:val="00D5017F"/>
    <w:rsid w:val="00D50747"/>
    <w:rsid w:val="00D5075A"/>
    <w:rsid w:val="00D507C6"/>
    <w:rsid w:val="00D51F17"/>
    <w:rsid w:val="00D52112"/>
    <w:rsid w:val="00D52A27"/>
    <w:rsid w:val="00D5366F"/>
    <w:rsid w:val="00D54988"/>
    <w:rsid w:val="00D54F9B"/>
    <w:rsid w:val="00D552E2"/>
    <w:rsid w:val="00D565F4"/>
    <w:rsid w:val="00D575BA"/>
    <w:rsid w:val="00D57972"/>
    <w:rsid w:val="00D603FA"/>
    <w:rsid w:val="00D60E6A"/>
    <w:rsid w:val="00D61AD8"/>
    <w:rsid w:val="00D61C63"/>
    <w:rsid w:val="00D62466"/>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14B"/>
    <w:rsid w:val="00DA4DFB"/>
    <w:rsid w:val="00DA4FF4"/>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D33"/>
    <w:rsid w:val="00DC64F1"/>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104"/>
    <w:rsid w:val="00E25416"/>
    <w:rsid w:val="00E27258"/>
    <w:rsid w:val="00E2776F"/>
    <w:rsid w:val="00E30BA2"/>
    <w:rsid w:val="00E3116F"/>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DD5"/>
    <w:rsid w:val="00EA2339"/>
    <w:rsid w:val="00EA2491"/>
    <w:rsid w:val="00EA25A3"/>
    <w:rsid w:val="00EA2BE2"/>
    <w:rsid w:val="00EA2EEB"/>
    <w:rsid w:val="00EA33C4"/>
    <w:rsid w:val="00EA3D9F"/>
    <w:rsid w:val="00EA41A3"/>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7CF"/>
    <w:rsid w:val="00EC7E1E"/>
    <w:rsid w:val="00ED0270"/>
    <w:rsid w:val="00ED0C7A"/>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DA"/>
    <w:rsid w:val="00ED7A9E"/>
    <w:rsid w:val="00EE007A"/>
    <w:rsid w:val="00EE0D34"/>
    <w:rsid w:val="00EE12EA"/>
    <w:rsid w:val="00EE19F5"/>
    <w:rsid w:val="00EE1CA0"/>
    <w:rsid w:val="00EE1EC2"/>
    <w:rsid w:val="00EE2220"/>
    <w:rsid w:val="00EE23C0"/>
    <w:rsid w:val="00EE24E4"/>
    <w:rsid w:val="00EE3012"/>
    <w:rsid w:val="00EE4B89"/>
    <w:rsid w:val="00EE554D"/>
    <w:rsid w:val="00EE591B"/>
    <w:rsid w:val="00EE5AB0"/>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DB1"/>
    <w:rsid w:val="00F2357A"/>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26"/>
    <w:rsid w:val="00F37883"/>
    <w:rsid w:val="00F37A87"/>
    <w:rsid w:val="00F37D8D"/>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5FB"/>
    <w:rsid w:val="00F526A7"/>
    <w:rsid w:val="00F52D02"/>
    <w:rsid w:val="00F53AAA"/>
    <w:rsid w:val="00F5435D"/>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4FC"/>
    <w:rsid w:val="00F758E8"/>
    <w:rsid w:val="00F760C2"/>
    <w:rsid w:val="00F762D9"/>
    <w:rsid w:val="00F76F7B"/>
    <w:rsid w:val="00F778AB"/>
    <w:rsid w:val="00F77F38"/>
    <w:rsid w:val="00F80158"/>
    <w:rsid w:val="00F8059B"/>
    <w:rsid w:val="00F806C8"/>
    <w:rsid w:val="00F80C2A"/>
    <w:rsid w:val="00F81137"/>
    <w:rsid w:val="00F81538"/>
    <w:rsid w:val="00F834A0"/>
    <w:rsid w:val="00F8503D"/>
    <w:rsid w:val="00F854B7"/>
    <w:rsid w:val="00F85E18"/>
    <w:rsid w:val="00F8684E"/>
    <w:rsid w:val="00F86895"/>
    <w:rsid w:val="00F8700A"/>
    <w:rsid w:val="00F874CA"/>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A6FC8"/>
    <w:rsid w:val="00FA7E7E"/>
    <w:rsid w:val="00FB140C"/>
    <w:rsid w:val="00FB19D8"/>
    <w:rsid w:val="00FB23C4"/>
    <w:rsid w:val="00FB2D5E"/>
    <w:rsid w:val="00FB3D25"/>
    <w:rsid w:val="00FB4D73"/>
    <w:rsid w:val="00FB53C2"/>
    <w:rsid w:val="00FB7698"/>
    <w:rsid w:val="00FB7FE3"/>
    <w:rsid w:val="00FC1762"/>
    <w:rsid w:val="00FC2013"/>
    <w:rsid w:val="00FC25A0"/>
    <w:rsid w:val="00FC39F7"/>
    <w:rsid w:val="00FC3AEA"/>
    <w:rsid w:val="00FC3E1F"/>
    <w:rsid w:val="00FC4CA5"/>
    <w:rsid w:val="00FC52AF"/>
    <w:rsid w:val="00FC70C4"/>
    <w:rsid w:val="00FC766F"/>
    <w:rsid w:val="00FC7B61"/>
    <w:rsid w:val="00FD01F7"/>
    <w:rsid w:val="00FD0E85"/>
    <w:rsid w:val="00FD12B2"/>
    <w:rsid w:val="00FD1492"/>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2F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10.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header" Target="header1.xml"/><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2FHT6SDPEKRM-4-39029</_dlc_DocId>
    <_dlc_DocIdUrl xmlns="2f0fb0e4-6f95-4f64-8efb-58e3d90405ce">
      <Url>https://projects.qualcomm.com/sites/SkyBer/_layouts/15/DocIdRedir.aspx?ID=2FHT6SDPEKRM-4-39029</Url>
      <Description>2FHT6SDPEKRM-4-39029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962901DE-0B43-4A66-A5EA-E9649970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55605D-B600-49A2-9AB0-E8EA36430EED}">
  <ds:schemaRefs>
    <ds:schemaRef ds:uri="office.server.policy"/>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7A26AA43-2E92-488C-8888-968E83911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4534</Words>
  <Characters>25847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30321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cp:revision>
  <cp:lastPrinted>2019-09-26T18:16:00Z</cp:lastPrinted>
  <dcterms:created xsi:type="dcterms:W3CDTF">2020-10-24T02:38:00Z</dcterms:created>
  <dcterms:modified xsi:type="dcterms:W3CDTF">2020-10-24T02:41:00Z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2723c0d7-dbbb-4ebe-8977-a81a171087aa</vt:lpwstr>
  </property>
</Properties>
</file>